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ACPR/18/2020 vom 26. Dezember 2019</w:t>
      </w:r>
    </w:p>
    <w:p>
      <w:r>
        <w:t>GE Cour de justice, 2019-12-26, FR</w:t>
      </w:r>
    </w:p>
    <w:p>
      <w:r>
        <w:rPr>
          <w:b/>
        </w:rPr>
        <w:t xml:space="preserve">Quelle: </w:t>
      </w:r>
      <w:r>
        <w:t>https://mcp.opencaselaw.ch/entscheid/ge_gerichte_ACPR_18_2020</w:t>
      </w:r>
    </w:p>
    <w:p>
      <w:r>
        <w:t>FR: GE_GERICHTE ACPR/18/2020 du 26 décembre 2019</w:t>
      </w:r>
    </w:p>
    <w:p>
      <w:r>
        <w:t>IT: GE_GERICHTE ACPR/18/2020 del 26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minimise les charges plus qu'il ne les conteste. Or, il reconnaît le stockage de cocaïne à son domicile. À cet égard, il paraît ignorer que la quantité retrouvée chez lui est deux fois supérieure à la limite de 18 g fixée par la jurisprudence pour être qualifiée d'infraction aggravée à l'art. 19 LStup (cf. ATF 109 IV 143 consid. 3b p. 145; arrêt du Tribunal fédéral 6B_687/2016 du 12 juillet 2017 consid. 1.4.3). Ce n'est pas le lieu de déterminer, à la manière du juge du fond, ce que le recourant savait exactement à ce propos.</w:t>
      </w:r>
    </w:p>
    <w:p>
      <w:r>
        <w:rPr>
          <w:b/>
        </w:rPr>
        <w:t>E. 3</w:t>
      </w:r>
    </w:p>
    <w:p>
      <w:r>
        <w:t>Quoi qu'en dise le recourant, l'ordonnance querellée a retenu à juste titre l'existence d'un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132 I 21 consid. 3.2 p. 23; 128 I 149 consid. 2.1 p. 151; 123 I 31 consid. 3c p. 35 et les références).</w:t>
      </w:r>
    </w:p>
    <w:p>
      <w:r>
        <w:t>- 4/7 - P/25906/2019</w:t>
      </w:r>
    </w:p>
    <w:p>
      <w:r>
        <w:rPr>
          <w:b/>
        </w:rPr>
        <w:t>E. 3.2</w:t>
      </w:r>
    </w:p>
    <w:p>
      <w:r>
        <w:t>En l'espèce, il paraît évident que, en ce début d'enquête, le risque de collusion avec E______ est particulièrement aigu. La question ne se pose pas dans les termes exprimés dans le recours. C'est, en effet, la prise de contact à l'initiative du prénommé, et non du recourant, qui est particulièrement à redouter, d'autant plus que celui-ci s'est plaint de la violence exercée par son fournisseur et que les captures d'écran des messages que lui a envoyés celui-ci sont éloquents de ce point de vue. Cet élément-là suffit, sans qu'il soit besoin d'examiner si des tiers pourraient encore être influencés par le recourant, s'il était libéré.</w:t>
      </w:r>
    </w:p>
    <w:p>
      <w:r>
        <w:rPr>
          <w:b/>
        </w:rPr>
        <w:t>E. 4</w:t>
      </w:r>
    </w:p>
    <w:p>
      <w:r>
        <w:t>Le risque de collusion étant réalisé, et seul retenu par le premier juge, il n'est point besoin de procéder à l'examen des autres risques abordés spontanément par le recourant, l'autorité de recours pouvant s'en dispenser (cf. arrêt du Tribunal fédéral 1B______/2019 du ______ 2019 consid. 3.3 et la jurisprudence citée).</w:t>
      </w:r>
    </w:p>
    <w:p>
      <w:r>
        <w:rPr>
          <w:b/>
        </w:rPr>
        <w:t>E. 5</w:t>
      </w:r>
    </w:p>
    <w:p>
      <w:r>
        <w:t>Le recourant reproche au TMC de n'avoir pas accepté les mesures d'instruction qu'il proposait.</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(al. 2) l'assignation à résidence (let. c), l'obligation d'avoir un travail régulier (let. e), de se soumettre à un traitement médical ou à des contrôles (let. f) et l'interdiction d'entretenir des relations avec certaines personnes (let. g).</w:t>
      </w:r>
    </w:p>
    <w:p>
      <w:r>
        <w:rPr>
          <w:b/>
        </w:rPr>
        <w:t>E. 5.2</w:t>
      </w:r>
    </w:p>
    <w:p>
      <w:r>
        <w:t>En l'espèce, à partir du moment où, seul, le risque de collusion a été retenu et s'avère pertinent, c'est en vain que le recourant suggère des mesures qui ne sont sans rapport avec ce risque. L'obligation de travailler (qui se confond, ici, avec la reprise de l'emploi occupé jusqu'à l'appréhension) et de prendre un domicile éloigné n'a en elle-même aucun effet sur la possibilité de contact et, le cas échéant, de fortes pressions par le fournisseur. Le recourant peut bien s'engager à ne pas contacter celui-ci : la réciproque ne peut être ni empêchée ni contrôlée, en tout cas tant et aussi longtemps que l'avis de recherche n'est pas couronné de succès.</w:t>
      </w:r>
    </w:p>
    <w:p>
      <w:r>
        <w:rPr>
          <w:b/>
        </w:rPr>
        <w:t>E. 6</w:t>
      </w:r>
    </w:p>
    <w:p>
      <w:r>
        <w:t>Au vu de l'infraction reprochée, passible d'une peine privative de liberté d'un an au moins (art. 19 al. 2 let. a LStup), la mise en détention provisoire pour une durée d'un mois ne heurte pas le principe de la proportionnalité (art. 212 al. 3 CPP).</w:t>
      </w:r>
    </w:p>
    <w:p>
      <w:r>
        <w:rPr>
          <w:b/>
        </w:rPr>
        <w:t>E. 7</w:t>
      </w:r>
    </w:p>
    <w:p>
      <w:r>
        <w:t>Le recours s'avère ainsi infondé et doit être rejeté.</w:t>
      </w:r>
    </w:p>
    <w:p>
      <w:r>
        <w:t>- 5/7 - P/25906/2019</w:t>
      </w:r>
    </w:p>
    <w:p>
      <w:r>
        <w:rPr>
          <w:b/>
        </w:rPr>
        <w:t>E. 8</w:t>
      </w:r>
    </w:p>
    <w:p>
      <w:r>
        <w:t>Le recourant, qui succombe, supportera les frais envers l'État, qui comprendront un émolument de CHF 900.- (art. 428 al. 1 CPP et 13 al. 1 du Règlement fixant le tarif des frais en matière pénale, RTFMP; E 4 10.03). * * * * *</w:t>
      </w:r>
    </w:p>
    <w:p>
      <w:r>
        <w:t>- 6/7 - P/25906/2019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