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ACPR/189/2025 vom 24. Januar 2025</w:t>
      </w:r>
    </w:p>
    <w:p>
      <w:r>
        <w:t>GE Cour de justice, 2025-01-24, FR</w:t>
      </w:r>
    </w:p>
    <w:p>
      <w:r>
        <w:rPr>
          <w:b/>
        </w:rPr>
        <w:t xml:space="preserve">Quelle: </w:t>
      </w:r>
      <w:r>
        <w:t>https://mcp.opencaselaw.ch/entscheid/ge_gerichte_ACPR_189_2025</w:t>
      </w:r>
    </w:p>
    <w:p>
      <w:r>
        <w:t>FR: GE_GERICHTE ACPR/189/2025 du 24 janvier 2025</w:t>
      </w:r>
    </w:p>
    <w:p>
      <w:r>
        <w:t>IT: GE_GERICHTE ACPR/189/2025 del 24 gennaio 2025</w:t>
      </w:r>
    </w:p>
    <w:p>
      <w:pPr>
        <w:pStyle w:val="Heading2"/>
      </w:pPr>
      <w:r>
        <w:t>Erwägungen</w:t>
      </w:r>
    </w:p>
    <w:p>
      <w:r>
        <w:rPr>
          <w:b/>
        </w:rPr>
        <w:t>E. 1</w:t>
      </w:r>
    </w:p>
    <w:p>
      <w:r>
        <w:t>Le recours est recevable pour avoir été formé selon la forme et dans le délai prescrits (art. 42 al. 3 LaCP cum 385 al. 1 et 396 al. 1 CPP), concerner une décision judiciaire ultérieure indépendante au sens de l'art. 363 al. 3 CPP (arrêts du Tribunal fédéral 6B_1463/2017 du 29 mai 2018 consid. 3 et 6B_158/2013 du 25 avril 2013 consid. 2.1) rendue par le TAPEM (art. 41 al. 1 LaCP), ordonnance sujette à contestation auprès de la Chambre de céans (art. 42 al. 1 let. b LaCP cum ATF 141 IV 187 consid. 1.1; art. 393 al. 1 let. b CPP), et émaner du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à l'octroi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arrêt du Tribunal fédéral 7B_678/2023 du 27 octobre 2023 consid. 2.2.2). Le pronostic à émettre doit être posé sur la base d'une appréciation globale, prenant en considération les antécédents de l'intéressé, sa personnalité, son comportement en</w:t>
      </w:r>
    </w:p>
    <w:p>
      <w:r>
        <w:t>- 7/10 - PM/50/2025 général et dans le cadre des délits qui sont à l'origine de sa condamnation, le degré de son éventuel amendement ainsi que les conditions dans lesquelles il est à prévoir qu'il vivra (ATF 133 IV 201 consid. 2.2 et 2.3; arrêt du Tribunal fédéral 7B_678/2023 du 27 octobre 2023 précité consid. 2.2.2).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3.2</w:t>
      </w:r>
    </w:p>
    <w:p>
      <w:r>
        <w:t>En l'espèce, la condition objective de la libération conditionnelle du recourant est réalisée depuis le 12 février 2025. Cela étant, tous les préavis sont négatifs. Le comportement du recourant en détention a été marqué par plusieurs incidents ayant conduit à des sanctions, notamment une bagarre et la consommation de stupéfiants. Cet élément, que le recourant ne commente pas, n'est pas favorable, même si, dans les ateliers et avec le personnel de détention, son comportement est correct. Le recourant a été condamné à plusieurs reprises en Suisse, entre 2023 et 2024, ainsi qu'en France, et aurait, selon ses dires, été arrêté en Allemagne. Ce parcours judiciaire, ainsi que la persistance de la consommation de stupéfiants, même en détention, couplés à l'absence de projet concret et réaliste à sa sortie de prison, sont autant de facteurs de nature à faire redouter une récidive. Le recourant objecte qu'il a cherché de l'aide auprès des "services psychologiques" pour comprendre ses problèmes d'addiction et leur trouver une solution, mais, en l'état, les analyses toxicologiques effectuées en prison se sont révélées positives. Il expose que le désarroi ressenti au décès de sa mère, il y a un an, l'aurait empêché, à bien le comprendre, de concevoir un projet de réinsertion, mais il n'explique pas ce qu'il entend faire concrètement pour y parvenir, le soutien psychologique étant désormais terminé. La participation à des groupes d'addictologie, lors de sa libération, est en soi une saine démarche, mais ne constitue pas un projet de vie. En expliquant qu'il aurait désormais le droit de se rendre en Allemagne, ce qui n'est pas établi, il élude le fait qu'il sera, à sa libération, remis aux autorités françaises. Dans ce contexte, c'est à bon droit que l'autorité précédente a retenu un risque de réitération, notamment d'infractions à la Loi sur les stupéfiants. Que le recourant n'ait, en Suisse, pas commis d'infractions par l'usage de la violence ne conduit pas à lui</w:t>
      </w:r>
    </w:p>
    <w:p>
      <w:r>
        <w:t>- 8/10 - PM/50/2025 octroyer la libération conditionnelle, au vu du nombre d'antécédents et du pronostic clairement défavorable.</w:t>
      </w:r>
    </w:p>
    <w:p>
      <w:r>
        <w:rPr>
          <w:b/>
        </w:rPr>
        <w:t>E. 4</w:t>
      </w:r>
    </w:p>
    <w:p>
      <w:r>
        <w:t>Le recours doit ainsi être rejeté.</w:t>
      </w:r>
    </w:p>
    <w:p>
      <w:r>
        <w:rPr>
          <w:b/>
        </w:rPr>
        <w:t>E. 5</w:t>
      </w:r>
    </w:p>
    <w:p>
      <w:r>
        <w:t>Le recourant, qui succombe, supportera les frais envers l'État, qui comprendront un émolument de CHF 800.- (art. 428 al. 1 CPP et 13 al. 1 du Règlement fixant le tarif des frais en matière pénale, RTFMP ; E 4 10.03). * * * * *</w:t>
      </w:r>
    </w:p>
    <w:p>
      <w:r>
        <w:t>- 9/10 - PM/50/2025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