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ACPR/184/2024 vom 15. Februar 2024</w:t>
      </w:r>
    </w:p>
    <w:p>
      <w:r>
        <w:t>GE Cour de justice, 2024-02-15, FR</w:t>
      </w:r>
    </w:p>
    <w:p>
      <w:r>
        <w:rPr>
          <w:b/>
        </w:rPr>
        <w:t xml:space="preserve">Quelle: </w:t>
      </w:r>
      <w:r>
        <w:t>https://mcp.opencaselaw.ch/entscheid/ge_gerichte_ACPR_184_2024</w:t>
      </w:r>
    </w:p>
    <w:p>
      <w:r>
        <w:t>FR: GE_GERICHTE ACPR/184/2024 du 15 février 2024</w:t>
      </w:r>
    </w:p>
    <w:p>
      <w:r>
        <w:t>IT: GE_GERICHTE ACPR/184/2024 del 15 febbraio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l'existence de charges suffisantes et graves, au sens de l'art. 221 al. 1 CPP, de sorte qu'il peut être renvoyé, en tant que de besoin, à la motivation adoptée par le premier juge (art 82 al. 4 CPP; ACPR/747/2020 du 22 octobre 2020 consid. 2 et les références), qui expose les indices graves et concordants pesant sur le prévenu.</w:t>
      </w:r>
    </w:p>
    <w:p>
      <w:r>
        <w:t>- 6/11 - P/13389/2017</w:t>
      </w:r>
    </w:p>
    <w:p>
      <w:r>
        <w:rPr>
          <w:b/>
        </w:rPr>
        <w:t>E. 3</w:t>
      </w:r>
    </w:p>
    <w:p>
      <w:r>
        <w:t>Le recourant conteste tout risque de réitération. 3.1.1. En vertu de l'art. 221 al. 1 let. c CPP, la détention provisoire peut être ordonnée lorsqu'il y a sérieusement lieu de craindre que le prévenu compromette sérieusement la sécurité d'autrui par des crimes ou des délits graves après avoir déjà commis des infractions du même genre. Bien qu'une application littérale de cette disposition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p. 18 ss; cf. arrêt 1B_133/2011 du 12 avril 2011 consid. 4.7). Le risque de récidive peut également se fonder sur les infractions faisant l'objet de la procédure pénale en cours, si le prévenu est fortement soupçonné – avec une probabilité confinant à la certitude – de les avoir commises (ATF 137 IV 84 consid. 3.2). Sur la base de cette jurisprudence, le nouvel al. 1bis de l'art. 221 CPP – entré en vigueur le 1er janvier 2024 – prévoit le risque de récidive qualifié comme motif de mise en détention. Selon cette disposition, la détention provisoire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(mise en œuvre de la motion 14.3383 de la Commission des affaires juridiques du Conseil des États « Adaptation du code de procédure pénale »), FF 2019 6351, p. 6395).</w:t>
      </w:r>
    </w:p>
    <w:p>
      <w:r>
        <w:t>- 7/11 - P/13389/2017 3.1.2.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3.1 ; 143 IV 9 consid. 2.8).</w:t>
      </w:r>
    </w:p>
    <w:p>
      <w:r>
        <w:rPr>
          <w:b/>
        </w:rPr>
        <w:t>E. 3.2</w:t>
      </w:r>
    </w:p>
    <w:p>
      <w:r>
        <w:t>En l'espèce, le recourant soutient qu'un nouvel examen du risque de réitération s'imposerait à l'aune du rapport de police du 11 décembre 2023. Ayant émis le souhait de changer d'activité professionnelle, en juillet 2022 déjà, soit avant même son interpellation de février 2023, son projet de reconversion dans le « trading » devait être considéré comme crédible. L'intéressé perd toutefois de vue qu'à cette époque il avait déjà fait l'objet d'un premier placement en détention provisoire, en lien avec des infractions de même typicité, ce qui ne l'avait nullement empêché de reprendre, peu après sa libération, en février 2020, la même activité illicite, et ce sur une longue période. En d'autres termes, tant une poursuite pénale pour encouragement à la prostitution (art. 195 CP) et incitation à l’entrée et au séjour illégaux d’étrangers (art. 116 LÉI), infractions rangées dans la catégorie des infractions contre l’intégrité sexuelle pour la première et relevant d’atteintes graves à la dignité humaine pour la seconde, qu'un projet de changement d'activité professionnelle ne l'ont pas dissuadé de reprendre rapidement la même activité illicite. Dans ces circonstances, en dépit d'un casier judiciaire vierge, on ne voit pas pourquoi sa seconde interpellation devrait conduire à un résultat différent. Il ne l'explique d'ailleurs pas. De plus, son projet – au demeurant aucunement étayé – semble d'autant moins abouti qu'à la lecture des messages échangés en juillet 2022, ses espoirs de reconversion dans le « trading » reposaient sur l'aide de son interlocuteur; interlocuteur identifié aujourd'hui comme ayant pu jouer un rôle dans l'activité qui lui est reprochée. Sa promesse de réorienter sa carrière est ainsi sérieusement mise en doute, ce d'autant que son permis « L » actuellement échu lui interdit toute activité professionnelle en Suisse. Par conséquent, quoi qu'il en dise, le risque de réitération n'a pas diminué et reste concret. Aussi, aucun élément n'est intervenu qui serait de nature à modifier l'appréciation du risque de récidive retenu par le Chambre de céans dans son précédent arrêt (ACPR/6/2024 précité consid. 5.2.), auquel il peut être renvoyé pour le surplus.</w:t>
      </w:r>
    </w:p>
    <w:p>
      <w:r>
        <w:t>- 8/11 - P/13389/2017</w:t>
      </w:r>
    </w:p>
    <w:p>
      <w:r>
        <w:rPr>
          <w:b/>
        </w:rPr>
        <w:t>E. 4</w:t>
      </w:r>
    </w:p>
    <w:p>
      <w:r>
        <w:t>Le recourant propose, à titre de mesures de substitution à la détention provisoire, de se soumettre au dépôt de son passeport et à la présentation périodique à la police. Or, ces mesures – qui se rapportent au risque de fuite – ne sont pas de nature à pallier le danger de récidive. Aucune autre mesure ne paraît, en outre, apte à le faire. Le recourant n'en suggère d'ailleurs pas.</w:t>
      </w:r>
    </w:p>
    <w:p>
      <w:r>
        <w:rPr>
          <w:b/>
        </w:rPr>
        <w:t>E. 5</w:t>
      </w:r>
    </w:p>
    <w:p>
      <w:r>
        <w:t>Le risque de réitération suffisant à faire échec au recours, il n'est pas nécessaire d'examiner ce qu'il en serait des risques de fuite et de collusion. De jurisprudence constante, en effet, si l'un des motifs prévus aux lettres a à c de l'art. 221 al. 1 CPP est réalisé, il n'y a pas lieu d'examiner si un autre risque entre également en considération (arrêt du Tribunal fédéral 7B_1009/2023 du 6 février 2024 consid. 5.5. et les références).</w:t>
      </w:r>
    </w:p>
    <w:p>
      <w:r>
        <w:rPr>
          <w:b/>
        </w:rPr>
        <w:t>E. 6</w:t>
      </w:r>
    </w:p>
    <w:p>
      <w:r>
        <w:t>Le recourant invoque une violation du principe de la proportionnalité.</w:t>
      </w:r>
    </w:p>
    <w:p>
      <w:r>
        <w:rPr>
          <w:b/>
        </w:rPr>
        <w:t>E. 6.1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 ; 125 I 60 ; arrêts du Tribunal fédéral 1B_750/2012 du 16 janvier 2013 consid. 2, 1B_624/2011 du 29 novembre 2011 consid. 3.1 et 1B_9/2011 du 7 février 2011 consid. 7.2).</w:t>
      </w:r>
    </w:p>
    <w:p>
      <w:r>
        <w:rPr>
          <w:b/>
        </w:rPr>
        <w:t>E. 6.2</w:t>
      </w:r>
    </w:p>
    <w:p>
      <w:r>
        <w:t>In casu, si le recourant est certes détenu depuis plus d'un an, la détention provisoire ordonnée n'atteint pas la durée de la peine à laquelle il pourrait concrètement s’exposer, s’il était reconnu coupable de toutes les préventions qui lui ont été notifiées. La peine menace prévue à l'art. 116 al. 3 LÉI peut atteindre cinq ans de privation de liberté, sans compter sur l'aggravation éventuelle due au concours d'infractions, par exemple avec l'encouragement à la prostitution (art. 195 CP). Par ailleurs, le recourant – même s'il n'invoque plus une violation du principe de la célérité – semble se plaindre de la lenteur de la procédure. Or, il appert que l'instruction se déroule, depuis son arrestation en février 2023, à un rythme satisfaisant, sans qu'on puisse déceler un retard injustifié au sens de l'art. 5 CPP. De nombreux actes d'enquête sont encore en cours et le Ministère public envisage d'auditionner les personnes identifiées comme ayant pu jouer un rôle dans les faits reprochés au recourant. Une prolongation de la détention pour une durée de trois mois apparait ainsi nécessaire. Le Ministère public est toutefois invité à faire diligence afin de fixer les auditions visées supra dans les meilleurs délais.</w:t>
      </w:r>
    </w:p>
    <w:p>
      <w:r>
        <w:t>- 9/11 - P/13389/2017</w:t>
      </w:r>
    </w:p>
    <w:p>
      <w:r>
        <w:rPr>
          <w:b/>
        </w:rPr>
        <w:t>E. 7</w:t>
      </w:r>
    </w:p>
    <w:p>
      <w:r>
        <w:t>Le recours s'avère ainsi infondé et doit être rejeté.</w:t>
      </w:r>
    </w:p>
    <w:p>
      <w:r>
        <w:rPr>
          <w:b/>
        </w:rPr>
        <w:t>E. 8</w:t>
      </w:r>
    </w:p>
    <w:p>
      <w:r>
        <w:t>Le recourant, qui succombe, supportera les frais envers l'État, arrêtés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w:t>
      </w:r>
    </w:p>
    <w:p>
      <w:r>
        <w:t>L'indemnité du défenseur d'office sera fixée à la fin de la procédure (art. 135 al. 2 CPP). * * * * *</w:t>
      </w:r>
    </w:p>
    <w:p>
      <w:r>
        <w:t>- 10/11 - P/13389/2017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