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ACPR/184/2023 vom 14. März 2023</w:t>
      </w:r>
    </w:p>
    <w:p>
      <w:r>
        <w:t>GE Cour de justice, 2023-03-14, FR</w:t>
      </w:r>
    </w:p>
    <w:p>
      <w:r>
        <w:rPr>
          <w:b/>
        </w:rPr>
        <w:t xml:space="preserve">Quelle: </w:t>
      </w:r>
      <w:r>
        <w:t>https://mcp.opencaselaw.ch/entscheid/ge_gerichte_ACPR_184_2023</w:t>
      </w:r>
    </w:p>
    <w:p>
      <w:r>
        <w:t>FR: GE_GERICHTE ACPR/184/2023 du 14 mars 2023</w:t>
      </w:r>
    </w:p>
    <w:p>
      <w:r>
        <w:t>IT: GE_GERICHTE ACPR/184/2023 del 14 marzo 2023</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du plaignant, qui a qualité pour agir, ayant un intérêt juridiquement protégé à obtenir une décision de l'autorité sollicitée (art. 104 al.1 let. b et 382 CPP). Partant, il est recevable.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w:t>
      </w:r>
    </w:p>
    <w:p>
      <w:r>
        <w:t>- 5/8 - P/22795/2021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w:t>
      </w:r>
    </w:p>
    <w:p>
      <w:r>
        <w:rPr>
          <w:b/>
        </w:rPr>
        <w:t>E. 2.2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t>- 6/8 - P/22795/2021</w:t>
      </w:r>
    </w:p>
    <w:p>
      <w:r>
        <w:rPr>
          <w:b/>
        </w:rPr>
        <w:t>E. 2.3</w:t>
      </w:r>
    </w:p>
    <w:p>
      <w:r>
        <w:t>En l'espèce, à réception de la plainte du 23 novembre 2021, le Ministère public a ouvert une instruction pénale et, le 6 décembre suivant, transmis le dossier à l'IGS pour complément d'enquête (art. 309 al. 2 CPP). Le pli du 3 mars 2022 a également été transmis par le Ministère public audit service dès sa réception. Le Ministère public a reçu le rapport de l'IGS le 2 décembre 2022. Ce qui précède démontre que le Ministère public n'est pas resté inactif dans la conduite de l'instruction, les actes d'enquête destinés à établir les faits pertinents constituant aussi une activité de l'autorité pénale qui doit être prise en compte. En tout état, le temps pris par l'IGS pour procéder aux investigations nécessaires, soit près de douze mois, est encore admissible au sens de la jurisprudence précitée. Par ailleurs, le Procureur général a précisé qu'il statuerait sur la suite de la procédure une fois en possession du dossier, lequel lui a été retourné le 2 décembre 2022 et est, depuis lors, en mains de la Chambre de céans. Cela vaut pour les demandes d'expertise et d'octroi d'assistance juridique. En l'état, rien ne laisse donc supposer que la procédure préliminaire ne sera pas menée à terme dans un délai raisonnable.</w:t>
      </w:r>
    </w:p>
    <w:p>
      <w:r>
        <w:rPr>
          <w:b/>
        </w:rPr>
        <w:t>E. 3</w:t>
      </w:r>
    </w:p>
    <w:p>
      <w:r>
        <w:t>Infondé, le recours est rejeté.</w:t>
      </w:r>
    </w:p>
    <w:p>
      <w:r>
        <w:rPr>
          <w:b/>
        </w:rPr>
        <w:t>E. 4</w:t>
      </w:r>
    </w:p>
    <w:p>
      <w:r>
        <w:t>Le recourant, qui succombe, supportera les frais envers l'État, fixés en totalité à CHF 600.- (art. 428 al. 1 CPP et 13 al. 1 du Règlement fixant le tarif des frais en matière pénale, RTFMP ; E 4 10.03). * * * * *</w:t>
      </w:r>
    </w:p>
    <w:p>
      <w:r>
        <w:t>- 7/8 - P/22795/2021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