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ACPR/182/2012 vom 2. Mai 2012</w:t>
      </w:r>
    </w:p>
    <w:p>
      <w:r>
        <w:t>GE Cour de justice, 2012-05-02, DE</w:t>
      </w:r>
    </w:p>
    <w:p>
      <w:r>
        <w:rPr>
          <w:b/>
        </w:rPr>
        <w:t xml:space="preserve">Quelle: </w:t>
      </w:r>
      <w:r>
        <w:t>https://mcp.opencaselaw.ch/entscheid/ge_gerichte_ACPR_182_2012</w:t>
      </w:r>
    </w:p>
    <w:p>
      <w:r>
        <w:t>FR: GE_GERICHTE ACPR/182/2012 du 2 mai 2012</w:t>
      </w:r>
    </w:p>
    <w:p>
      <w:r>
        <w:t>IT: GE_GERICHTE ACPR/182/2012 del 2 maggio 2012</w:t>
      </w:r>
    </w:p>
    <w:p>
      <w:pPr>
        <w:pStyle w:val="Heading2"/>
      </w:pPr>
      <w:r>
        <w:t>Volltext</w:t>
      </w:r>
    </w:p>
    <w:p>
      <w:r>
        <w:t>P/19653/2006 ACPR/182/2012 (3) du 02.05.2012 sur OCL/97/2012 ( MP ) , ADMIS Descripteurs : ; DROIT D'ÊTRE ENTENDU ; RÉPLIQUE ; MOTIVATION DE LA DÉCISION ; PRINCIPE DE LA CÉLÉRITÉ ; ACTE D'ACCUSATION ; HOMICIDE PAR NÉGLIGENCE ; EXPOSITION À UN DANGER ; DÉLIT D'OMISSION ; SOINS MÉDICAUX Normes : CPP.390; CPP.310; CPP.318; CPP.80; CP.117; CP.127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