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ACPR/180/2024 vom 10. August 2023</w:t>
      </w:r>
    </w:p>
    <w:p>
      <w:r>
        <w:t>GE Cour de justice, 2023-08-10, FR</w:t>
      </w:r>
    </w:p>
    <w:p>
      <w:r>
        <w:rPr>
          <w:b/>
        </w:rPr>
        <w:t xml:space="preserve">Quelle: </w:t>
      </w:r>
      <w:r>
        <w:t>https://mcp.opencaselaw.ch/entscheid/ge_gerichte_ACPR_180_2024</w:t>
      </w:r>
    </w:p>
    <w:p>
      <w:r>
        <w:t>FR: GE_GERICHTE ACPR/180/2024 du 10 août 2023</w:t>
      </w:r>
    </w:p>
    <w:p>
      <w:r>
        <w:t>IT: GE_GERICHTE ACPR/180/2024 del 10 agosto 2023</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a CPP) et émaner du défenseur d'office, qui a qualité pour recourir (art. 135 al. 3 let. a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uniquement la réduction du temps consacré par ses soins, le 19 juin 2023, à "l'étude du dossier", les 12 et 14 juillet 2023, à la rédaction d'observations et, le 19 suivant, à l'examen du jugement rendu par le TAPEM le 17 précédent. Les autres postes ne sont donc pas litigieux : il n'y sera pas revenu.</w:t>
      </w:r>
    </w:p>
    <w:p>
      <w:r>
        <w:rPr>
          <w:b/>
        </w:rPr>
        <w:t>E. 4.1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w:t>
      </w:r>
    </w:p>
    <w:p>
      <w:r>
        <w:t>- 5/9 - PM/598/2023 (ATF 141 I 124 consid. 3.2; arrêt du Tribunal fédéral 6B_856/2014 du 10 juillet 2015 consid. 2.3).</w:t>
      </w:r>
    </w:p>
    <w:p>
      <w:r>
        <w:rPr>
          <w:b/>
        </w:rPr>
        <w:t>E. 4.2</w:t>
      </w:r>
    </w:p>
    <w:p>
      <w:r>
        <w:t>Le temps consacré à la procédure ne doit être pris en considération que s’il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défrayées (décision de la Cour des plaintes du Tribunal pénal fédéral BB.2022.7 du 9 mai 2022 consid. 4.1.1).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(ACPR/896/2021 du 20 décembre 2021 consid. 2.2). 4.3.1. Les frais de courriers et de téléphones, c'est-à-dire les frais et le temps consacré à ces activités, sont pris en compte sur la base d'un forfait correspondant à 20% des heures d'activité dont l'autorité admet la nécessité, ou de 10% au-delà de trente heures de travail (ACPR/945/2023 du 6 décembre 2023 consid. 3.5; ACPR/643/2023 du 16 août 2023 consid. 3.1.2; ACPR/896/2021 du 20 décembre 2021 consid. 4.1).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Lorsque le défenseur d'office entend remettre en question le forfait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4.3.2.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w:t>
      </w:r>
    </w:p>
    <w:p>
      <w:r>
        <w:t>- 6/9 - PM/598/2023 justifier. Aussi,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(ACPR/560/2017 du 21 août 2017 consid. 2.3).</w:t>
      </w:r>
    </w:p>
    <w:p>
      <w:r>
        <w:rPr>
          <w:b/>
        </w:rPr>
        <w:t>E. 4.4</w:t>
      </w:r>
    </w:p>
    <w:p>
      <w:r>
        <w:t>En l'occurrence, la recourante a facturé trois heures pour l'étude du dossier, alléguant qu'il avait été nécessaire de le relire intégralement. Or, on peut attendre d'une avocate expérimentée qu'elle repère rapidement les éléments clés du dossier, ce d'autant plus que l'intéressée avait défendu les intérêts de C______ dans le cadre de la P/1______/2018 et des précédents examens de la mesure effectués par le TAPEM en 2021 et 2022. Elle connaissait donc déjà le parcours de son client, sa personnalité et ses antécédents. Aussi, au vu de l'absence de complexité particulière du dossier, de son volume limité (une fourre jaune, comportant une centaine de pages, dont une vingtaine de nouvelles depuis la précédente procédure devant le TAPEM) et du fait que la recourante en avait une bonne connaissance, une durée de trois heures pour son analyse apparaît objectivement excessive. Dans ces circonstances, les 45 minutes retenues par le premier juge apparaissent adéquates. La décision entreprise n'est donc pas critiquable sur ce point. La recourante allègue ensuite avoir consacré 2h30 à la rédaction d'observations au TAPEM. Comme mentionné supra, il convient d'apprécier l'activité fournie par le défenseur d'office sous l'angle de la nécessité. Or, la recourante n'explique pas en quoi une telle durée était nécessaire pour accomplir cette démarche. Il sied de préciser qu'elle s'est prononcée sous la forme d'un courrier de moins de deux pages et qu'elle a finalement conclu au maintien de la mesure institutionnelle, tel que préconisé par le SAPEM et le Ministère public. Ainsi, au vu du travail accompli, une durée de 1 heure et 30 minutes apparaît amplement suffisante. La réduction opérée par l'instance précédente est donc exempte de critique. Enfin, à la lumière des principes sus-rappelés, c'est à juste titre que le TAPEM a retranché de l'état de frais de la recourante le poste relatif à la lecture du jugement du 17 juillet 2023, cette activité étant incluse dans le forfait de 10% prévu pour les courriers et les téléphones. À cet égard, l'intéressée n'établit nullement que la lecture de cette décision – qui comporte huit pages, dont seulement deux en droit – aurait justifié un examen particulièrement poussé, étant précisé qu'elle va dans le sens des conclusions prises par son client.</w:t>
      </w:r>
    </w:p>
    <w:p>
      <w:r>
        <w:t>- 7/9 - PM/598/2023 La recourante n'allègue pas non plus – ni a fortiori ne démontre – que le montant alloué pour la rédaction de courriers ou pour les téléphones effectués serait insuffisant au regard des frais qu'elle a concrètement encourus et du temps qu'elle y a consacré. L'activité de la recourante liée à lecture du jugement a ainsi été couverte par le forfait de 10% accordé par le TAPEM. En conséquence, l'ordonnance querellée, qui ne prête pas le flanc à la critique, sera donc confirmée.</w:t>
      </w:r>
    </w:p>
    <w:p>
      <w:r>
        <w:rPr>
          <w:b/>
        </w:rPr>
        <w:t>E. 5</w:t>
      </w:r>
    </w:p>
    <w:p>
      <w:r>
        <w:t>Infondé, le recours doit être rejeté.</w:t>
      </w:r>
    </w:p>
    <w:p>
      <w:r>
        <w:rPr>
          <w:b/>
        </w:rPr>
        <w:t>E. 6</w:t>
      </w:r>
    </w:p>
    <w:p>
      <w:r>
        <w:t>La recourante, qui succombe, supportera les frais envers l'État, qui seront fixés en totalité à CHF 400.- (art. 428 al. 1 CPP et 13 al. 1 du Règlement fixant le tarif des frais en matière pénale, RTFMP ; E 4 10.03). * * * * *</w:t>
      </w:r>
    </w:p>
    <w:p>
      <w:r>
        <w:t>- 8/9 - PM/598/2023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