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ACPR/17/2026 vom 23. November 2025</w:t>
      </w:r>
    </w:p>
    <w:p>
      <w:r>
        <w:t>GE Cour de justice, 2025-11-23, FR</w:t>
      </w:r>
    </w:p>
    <w:p>
      <w:r>
        <w:rPr>
          <w:b/>
        </w:rPr>
        <w:t xml:space="preserve">Quelle: </w:t>
      </w:r>
      <w:r>
        <w:t>https://mcp.opencaselaw.ch/entscheid/ge_gerichte_ACPR_17_2026</w:t>
      </w:r>
    </w:p>
    <w:p>
      <w:r>
        <w:t>FR: GE_GERICHTE ACPR/17/2026 du 23 novembre 2025</w:t>
      </w:r>
    </w:p>
    <w:p>
      <w:r>
        <w:t>IT: GE_GERICHTE ACPR/17/2026 del 23 novembre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w:t>
      </w:r>
    </w:p>
    <w:p>
      <w:r>
        <w:t>- 4/8 - P/26557/2025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w:t>
      </w:r>
    </w:p>
    <w:p>
      <w:r>
        <w:t>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contraires à la LStup, dès lors qu'il avait déjà été condamné pour des faits similaires.</w:t>
      </w:r>
    </w:p>
    <w:p>
      <w:r>
        <w:t>Dans son recours, le recourant ne prétend pas que les conditions de l’art. 255 al. 1bis CPP ne seraient pas réalisées, au vu de sa précédente condamnation pour délit à la LStup. Il soutient en revanche que la mesure serait disproportionnée car il avait déjà fait l’objet d’établissements de son profil d’ADN "à maintes reprises".</w:t>
      </w:r>
    </w:p>
    <w:p>
      <w:r>
        <w:t>Or, il ne paraît ni arbitraire ni contraire au principe de la proportionnalité que chaque arrestation d’un prévenu, qui conduit à sa condamnation, puisse donner lieu à l’établissement d’un profil d’ADN, si les conditions de l’art. 255 CPP sont remplies – ce qui est le cas ici –.</w:t>
      </w:r>
    </w:p>
    <w:p>
      <w:r>
        <w:t>- 5/8 - P/26557/2025</w:t>
      </w:r>
    </w:p>
    <w:p>
      <w:r>
        <w:t>La Chambre de céans est en effet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w:t>
      </w:r>
    </w:p>
    <w:p>
      <w:r>
        <w:t>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w:t>
      </w:r>
    </w:p>
    <w:p>
      <w:r>
        <w:t>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n'interviendrait que dans dix ou vingt ans.</w:t>
      </w:r>
    </w:p>
    <w:p>
      <w:r>
        <w:t>Le recourant soutient que le nouvel établissement de son profil d’ADN rendrait "lettre morte" l’art. 17 de la loi sur les profils d’ADN, mais la Chambre de céans ne partage pas cette opinion. Cette disposition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d’avoir commis de nouvelles infractions pour lesquelles l’établissement d’un profil d’ADN est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w:t>
      </w:r>
    </w:p>
    <w:p>
      <w:r>
        <w:t>Le recourant invoque encore que les frais de ce nouvel établissement de son profil d'ADN seraient mis à sa charge et à celle du contribuable genevois. Que le coût de l’ordonnance querellée, de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w:t>
      </w:r>
    </w:p>
    <w:p>
      <w:r>
        <w:t>- 6/8 - P/26557/2025 soustraire à la mesure au prétexte que les frais pourraient incomber au contribuable genevois.</w:t>
      </w:r>
    </w:p>
    <w:p>
      <w:r>
        <w:t>Enfin, le délai d'effacement du profil d'ADN n'a pas à être mentionné expressément dans l'ordonnance d'établissement d'un tel profil, mais dans l'ordonnance pénale (ou le jugement) faisant suite à cette mesure (cf. art. 353 al. 1 let. fbis CPP). En effet, selon l'issue de la procédure, l'intérêt public à disposer du profil d'ADN de l'intéressé ne sera pas le même, de sorte qu'il appartient au juge du fond de trancher cette question.</w:t>
      </w:r>
    </w:p>
    <w:p>
      <w:r>
        <w:t>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- 7/8 - P/26557/2025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