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ACPR/179/2022 vom 22. Dezember 2021</w:t>
      </w:r>
    </w:p>
    <w:p>
      <w:r>
        <w:t>GE Cour de justice, 2021-12-22, FR</w:t>
      </w:r>
    </w:p>
    <w:p>
      <w:r>
        <w:rPr>
          <w:b/>
        </w:rPr>
        <w:t xml:space="preserve">Quelle: </w:t>
      </w:r>
      <w:r>
        <w:t>https://mcp.opencaselaw.ch/entscheid/ge_gerichte_ACPR_179_2022</w:t>
      </w:r>
    </w:p>
    <w:p>
      <w:r>
        <w:t>FR: GE_GERICHTE ACPR/179/2022 du 22 décembre 2021</w:t>
      </w:r>
    </w:p>
    <w:p>
      <w:r>
        <w:t>IT: GE_GERICHTE ACPR/179/2022 del 22 dicembre 2021</w:t>
      </w:r>
    </w:p>
    <w:p>
      <w:pPr>
        <w:pStyle w:val="Heading2"/>
      </w:pPr>
      <w:r>
        <w:t>Erwägungen</w:t>
      </w:r>
    </w:p>
    <w:p>
      <w:r>
        <w:rPr>
          <w:b/>
        </w:rPr>
        <w:t>E. 1</w:t>
      </w:r>
    </w:p>
    <w:p>
      <w:r>
        <w:t>al. 3 CP) et gestion fautive (art. 165 CP)", pour lui remettre le projet de commission rogatoire qu'il comptait adresser aux autorités italiennes afin d'entendre A______. Un délai était imparti à la plaignante pour lui faire part de ses éventuelles questions complémentaires. La commission rogatoire du 28 septembre 2021, intitulée "Demande d'entraide urgente", contient la même description des infractions reprochées à A______ que celle ci-dessus. En annexe figurait une liste de questions et des informations à donner à A______ en début d'audition, dont les faits reprochés, qualifiés d'"abus de confiance (art. 138 CP), gestion déloyale (art. 158 CP), banqueroute frauduleuse (art. 163 CP), diminution effective de l'actif au préjudice des créanciers (art. 164 CP) et gestion fautive (art. 165 CP)". En exécution de cette commission rogatoire, les autorités italiennes ont nommé un défenseur à A______ et lui ont adressé un mandat de comparution. Par courrier électronique de son défenseur, A______ a répondu qu'il allait se prévaloir de son droit de refuser de répondre aux questions. Ces documents ont été adressés le 17 novembre 2021 au Ministère public. h. En parallèle, le Ministère public a convoqué C______, E______ et D______ à une audience, d'abord fixée au 23 août 2021, puis repoussée au 19 octobre 2021. Entendu en qualité de témoin, D______ a expliqué que, dans son souvenir, les sommes reçues de G______ SA étaient des remboursements de prêts qu'il avait octroyés – par l'intermédiaire de sa société H______ – à A______. Le prénommé n'avait pas toujours été très clair, mais il lui avait fait confiance car ils avaient des</w:t>
      </w:r>
    </w:p>
    <w:p>
      <w:r>
        <w:t>- 5/14 - P/8042/2016 contacts en commun. Leurs affaires s'étaient très mal passées. Il avait perdu beaucoup de temps et d'argent. Il avait compris que les affaires proposées par A______ – achat de K______ et livraison de L______ – n'étaient fondées sur rien, raison pour laquelle il avait mis fin à leur relation. En 2013 ou 2014, A______ était tombé malade et avait été hospitalisé environ un mois. Il était ensuite allé le voir à M______ [Italie] et avait constaté qu'il était fatigué. Il lui avait dit que c'était terminé, qu'il avait perdu de l'argent mais qu'ils en restaient là. Entendu en qualité de personne appelée à donner des renseignements, I______, représentant de E______, a donné des explications sur le contrat du 22 mai 2012 et le "Cancellation Agreement" du 28 juin suivant. Quand un acompte était versé, il était d'usage qu'une garantie de bonne fin soit émise de la part du vendeur, mais cela n'avait jamais été le cas pour G______ SA, qui n'avait pas été en mesure d'émettre la garantie de USD 350'000.-. Ils n'avaient pas pu se mettre d'accord sur le libellé de la lettre de crédit et avaient dès lors rédigé ensemble, avec G______ SA, cet accord d'annulation qui mettait fin au reste du contrat, en échange de quoi ladite société s'engageait à rembourser l'avance de USD 800'000.-. i. Le 23 novembre 2021, le Ministère public a informé le conseil italien de A______ que la procédure à son encontre à Genève se poursuivait et qu'il avait l'intention de renvoyer prochainement l'affaire au tribunal. Auparavant, un délai lui était imparti pour désigner un avocat en Suisse. À défaut de réponse, un avocat d'office lui serait nommé. j. Le 15 décembre 2021, le Ministère public a ordonné une défense d'office en faveur de A______ en la personne de Me B______, considérant notamment que le premier nommé était prévenu de gestion déloyale aggravée (art. 158 ch. 1 al. 3 CP) et de gestion fautive (art. 165 CP). Le même jour, il a adressé au défenseur d'office de A______ une copie du dossier complet ainsi qu'un avis de prochaine clôture du 15 décembre 2021 également, annonçant qu'il entendait prochainement saisir le Tribunal de police d'un acte d'accusation contre le prénommé et contre C______. k. Le 20 décembre 2021, le défenseur de A______ a requis du Ministère public la répétition des auditions de C______, de D______ et de son client ainsi que la mise à l'écart du dossier des procès-verbaux desdites auditions. Le Ministère public n'avait pas pris en compte le cas de défense obligatoire (art. 130 let. b CPP cum 158 ch. 1 al.</w:t>
      </w:r>
    </w:p>
    <w:p>
      <w:r>
        <w:rPr>
          <w:b/>
        </w:rPr>
        <w:t>E. 3</w:t>
      </w:r>
    </w:p>
    <w:p>
      <w:r>
        <w:t>Le recourant se plaint encore d'une violation de l'art. 130 let. c CPP.</w:t>
      </w:r>
    </w:p>
    <w:p>
      <w:r>
        <w:rPr>
          <w:b/>
        </w:rPr>
        <w:t>E. 3.1</w:t>
      </w:r>
    </w:p>
    <w:p>
      <w:r>
        <w:t>Selon cette disposition, le prévenu doit avoir un défenseur lorsque, en raison de son état physique ou psychique ou pour d’autres motifs, il ne peut pas suffisamment défendre ses intérêts dans la procédure et que ses représentants légaux ne sont pas en mesure de le faire. Des indices de limitation ou d'absence de capacité de procéder au sens de l'art. 130 let. c CPP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du Tribunal fédéral 6B_1331/2020 du 18 janvier 2021 consid. 2.2.3). L'hypothèse prévue à l'art. 130 let. c CPP est notamment réalisée lorsque le prévenu n'est plus à même – de façon temporaire ou permanente – d'assurer, intellectuellement ou physiquement, sa participation à la procédure, à l'image des cas visés par l'art. 114 al. 2 et 3 CPP. À titre d'incapacités personnelles, on cite les dépendances à l'alcool, aux stupéfiants ou à des médicaments susceptibles d'altérer les capacités psychiques (arrêt du Tribunal fédéral 1B_229/2021 du 9 septembre 2021 consid. 3.1).</w:t>
      </w:r>
    </w:p>
    <w:p>
      <w:r>
        <w:rPr>
          <w:b/>
        </w:rPr>
        <w:t>E. 3.2</w:t>
      </w:r>
    </w:p>
    <w:p>
      <w:r>
        <w:t>En l'espèce, les quelques éléments avancés par le défenseur du recourant, comme simple hypothèses, ne permettent pas de retenir une incapacité de procéder au sens de l'art. 130 let. c CPP, question qu'il qualifie d'ailleurs lui-même d'"ouverte". Les déclarations du témoin D______ quant à l'hospitalisation du recourant en 2013 ou 2014, au terme de laquelle il lui aurait alors paru fatigué, ne suffisent pas à établir un état physique tel que l'intéressé n'aurait pu procéder depuis lors. Et le conseil n'explique pas sur quels éléments en lien avec la santé physique ou psychique de son client il aurait dû être nommé déjà avant l'audition du témoin précité – laquelle, on l'a</w:t>
      </w:r>
    </w:p>
    <w:p>
      <w:r>
        <w:t>- 12/14 - P/8042/2016 vu, a fondé les soupçons de gestion déloyale aggravée à l'encontre du recourant, et donc la nomination d'un défenseur d'office. Le grief doit être rejeté.</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bien qu'il bénéficie d'une défense d'office (art. 135 al. 4 et 428 CPP ; arrêt du Tribunal fédéral 6B_380/2013 du 16 janvier 2014 consid. 5).</w:t>
      </w:r>
    </w:p>
    <w:p>
      <w:r>
        <w:rPr>
          <w:b/>
        </w:rPr>
        <w:t>E. 6</w:t>
      </w:r>
    </w:p>
    <w:p>
      <w:r>
        <w:t>Il n'y a pas lieu d'indemniser à ce stade le défenseur d'office (art. 135 al. 2 CPP), la procédure n'étant pas terminée. * * * * *</w:t>
      </w:r>
    </w:p>
    <w:p>
      <w:r>
        <w:t>- 13/14 - P/8042/2016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