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ACPR/179/2014 vom 2. April 2014</w:t>
      </w:r>
    </w:p>
    <w:p>
      <w:r>
        <w:t>GE Cour de justice, 2014-04-02, FR</w:t>
      </w:r>
    </w:p>
    <w:p>
      <w:r>
        <w:rPr>
          <w:b/>
        </w:rPr>
        <w:t xml:space="preserve">Quelle: </w:t>
      </w:r>
      <w:r>
        <w:t>https://mcp.opencaselaw.ch/entscheid/ge_gerichte_ACPR_179_2014</w:t>
      </w:r>
    </w:p>
    <w:p>
      <w:r>
        <w:t>FR: GE_GERICHTE ACPR/179/2014 du 2 avril 2014</w:t>
      </w:r>
    </w:p>
    <w:p>
      <w:r>
        <w:t>IT: GE_GERICHTE ACPR/179/2014 del 2 aprile 2014</w:t>
      </w:r>
    </w:p>
    <w:p>
      <w:pPr>
        <w:pStyle w:val="Heading2"/>
      </w:pPr>
      <w:r>
        <w:t>Erwägungen</w:t>
      </w:r>
    </w:p>
    <w:p>
      <w:r>
        <w:rPr>
          <w:b/>
        </w:rPr>
        <w:t>E. 1</w:t>
      </w:r>
    </w:p>
    <w:p>
      <w:r>
        <w:t>La recevabilité du recours est acquise depuis le précédent arrêt de la Chambre de céans (ACPR/266/2013 précité).</w:t>
      </w:r>
    </w:p>
    <w:p>
      <w:r>
        <w:rPr>
          <w:b/>
        </w:rPr>
        <w:t>E. 2.1</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 E 2 05.04). Un chef d'étude perçoit une rémunération horaire de CHF 200.- et un stagiaire CHF 65.-. Ce tarif était déjà identique avant l'entrée en vigueur du CPP le 1er janvier 2011 (voir art. 19 aRAJ).</w:t>
      </w:r>
    </w:p>
    <w:p>
      <w:r>
        <w:t>Selon l’art. 16 al. 2 RAJ, seules les heures nécessaires sont retenues. Elles sont appréciées en fonction, notamment, de la nature, de l'importance et des difficultés de la cause, de la valeur litigieuse, de la qualité du travail fourni et du résultat obtenu.</w:t>
      </w:r>
    </w:p>
    <w:p>
      <w:r>
        <w:t>L'art. 17 RAJ prévoit que l'état de frais détaille par rubriques les activités donnant lieu à indemnisation, avec indication du temps consacré. Les justificatifs des frais sont joints. Les directives du greffe sont applicables pour le surplus.</w:t>
      </w:r>
    </w:p>
    <w:p>
      <w:r>
        <w:t>Ces Directives de l'assistance juridique des 10 septembre 2002 et 17 décembre 2004, disponibles sur le site Internet de l'État de Genève, servent à l'établissement de l'état de frais, mais ne fournissent pas d'interprétation contraignante du RAJ, ce d'autant plus que la teneur actuelle de ce règlement, tout comme celle du CPP, est postérieure à ces écrits.</w:t>
      </w:r>
    </w:p>
    <w:p>
      <w:r>
        <w:t>S'agissant du forfait "courriers/téléphones", il convient de relever qu’il n’existe, en la matière, aucune base légale ou réglementaire qui fixerait ledit forfait à 20% du total de l’activité déployée pour les autres postes de l’état de frais. Bien au contraire, ce forfait doit pouvoir être adapté en fonction de la nature et de l’importance de l’activité réellement déployée par l’avocat, conformément à l’usage en matière d’assistance juridique (ACPR/74/2013 du 5 mars 2013; ACPR/559/2012 du 14 décembre 2012).</w:t>
      </w:r>
    </w:p>
    <w:p>
      <w:r>
        <w:t>- 7/9 - P/6783/2008</w:t>
      </w:r>
    </w:p>
    <w:p>
      <w:r>
        <w:t>Selon l'art. 134 al. 1 CPP (applicable par renvoi de l'art. 137 CPP au conseil juridique gratuit de la partie plaignante), si le motif à l'origine de la défense d'office disparaît, la direction de la procédure révoque le mandat du défenseur désigné. À teneur de l'art. 138 al. 2 CPP, lorsque le prévenu est condamné à verser des dépens à la partie plaignante, ils reviennent à la Confédération ou au canton dans la mesure des dépenses consenties pour l'assistance judiciaire gratuite. L'art. 15 al. 3 RAJ prévoit qu'en cas de rejet ou de retrait avec effet rétroactif de l'assistance juridique, la rémunération du conseil juridique incombe à la personne requérante. Le conseil juridique nommé est indemnisé par l'État s'il rend vraisemblable l'impossibilité, sans faute de sa part, d'obtenir cette rémunération.</w:t>
      </w:r>
    </w:p>
    <w:p>
      <w:r>
        <w:rPr>
          <w:b/>
        </w:rPr>
        <w:t>E. 2.2</w:t>
      </w:r>
    </w:p>
    <w:p>
      <w:r>
        <w:t>En l'espèce, les affirmations du recourant, selon lesquelles il aurait été nommé "au hasard" à la défense de D______, ne correspondent pas au dossier, dès lors que le susnommé avait obtenu l'accord du recourant préalablement au dépôt de sa demande d'assistance judiciaire. On ne saurait donc reprocher de faute aux services de l'État dans l'attribution de la nomination d'office au recourant, qui l'avait acceptée avant toute décision officielle. Cependant, comme l'a retenu définitivement le Tribunal fédéral, les prestations déployées par le recourant dans la présente procédure sont adéquates et ne justifient pas par elles-mêmes une réduction. L'application de l'art. 16 RAJ n'entre donc pas en considération. En outre, le Tribunal fédéral a aussi retenu, définitivement, qu'il était insoutenable de considérer que l'octroi de conclusions civiles et de dépens par le Tribunal correctionnel à E______ portant, notamment, sur les honoraires du recourant, et le dépôt, le lendemain, par le même recourant, mais cette fois au nom de D______, d'une note de frais, pratiquement identique aux dépens réclamés en instance de jugement, auprès des services de l'assistance juridique - qui, comme le veut une certaine pratique à Genève, réceptionnent les notes de frais, même lorsqu'une autre juridiction est compétente pour allouer l'indemnité - ne permettaient pas de retenir une volonté manifeste de se faire payer deux fois la même prestation, ni donc d'abus de droit. Compte tenu de ce qui précède, même à supposer qu'une révocation rétroactive de l'assistance judiciaire accordée soit envisageable, l'art. 15 al. 3 RAJ, applicable en l'espèce selon le Tribunal fédéral, imposerait, de toute manière, que l'État paie au recourant les services rendus, au vu de l'indigence manifeste dont semblent souffrir les différentes personnes susceptibles de régler les honoraires du recourant. Sur ce point, le dossier ne permet pas, certes, d'établir la situation financière de E______, mais il n'y a pas lieu de mettre en doute la bonne foi, présumée, du recourant lorsqu'il déclare ne pas avoir reçu, respectivement ne pas pouvoir recevoir, de rémunération pour ses prestations de la part de cette société. Ainsi, le recourant se trouve dans</w:t>
      </w:r>
    </w:p>
    <w:p>
      <w:r>
        <w:t>- 8/9 - P/6783/2008 l'impossibilité, sans sa faute, de recouvrer ses honoraires, ce qui justifie que l'État y supplée. Toutefois, lorsque le recourant conclut au versement d'une somme de CHF 14'863.45, soit précisément celle allouée par le Tribunal correctionnel au titre de conclusions civiles, il perd de vue que cette somme résulte de tarifs et de principes qui ne sont pas ceux du RAJ. Partant, il se justifie de se fonder sur les prestations détaillées dans sa note de frais du 28 février 2013, seule pertinente en matière d'assistance judiciaire, soit 15h00 d'activité de chef d'étude à un tarif horaire de CHF 200.- et 61h05 d'activité d'avocat stagiaire à un tarif de CHF 65.-, le tout majoré d'un forfait "courriers/téléphones" de 10% au vu de l'importance de l'activité déployée, comme le veut la pratique constante en la matière. Le recourant a conclu au paiement de la TVA, mais il n'y a pas droit, au vu du domicile à l'étranger de son client et de la société de ce dernier (ACPR/402/2012 du 27 septembre 2012; ACPR/149/2013 du 18 avril 2013). Ainsi, c'est un montant de CHF 7'667.45 qui lui sera alloué pour son activité déployée dans la présente procédure, en sa qualité de défenseur d'office. Par application de l'art. 138 al. 2 CPP et de l'art. 19 al. 3 RAJ, il sera donné acte au recourant, à D______ et à E______ qu'ils s'engagent à restituer spontanément à l'État tout montant qui pourrait être perçu par l'un d'entre eux au titre de la réparation du dommage matériel par les prévenus à la présente procédure, et ce à concurrence de CHF 7'667.45. À cet effet, copie du présent arrêt sera transmise à la Chambre pénale d'appel et de révision, dès lors qu'elle assume désormais la Direction de la présente procédure pénale.</w:t>
      </w:r>
    </w:p>
    <w:p>
      <w:r>
        <w:rPr>
          <w:b/>
        </w:rPr>
        <w:t>E. 3</w:t>
      </w:r>
    </w:p>
    <w:p>
      <w:r>
        <w:t>Il résulte de ce qui précède que le recours doit être admis, la décision querellée annulée et une indemnité de CHF 7'667.45 allouée au recourant.</w:t>
      </w:r>
    </w:p>
    <w:p>
      <w:r>
        <w:rPr>
          <w:b/>
        </w:rPr>
        <w:t>E. 4</w:t>
      </w:r>
    </w:p>
    <w:p>
      <w:r>
        <w:t>Il ne sera pas perçu de frais (art. 428 al. 1 CPP).</w:t>
      </w:r>
    </w:p>
    <w:p>
      <w:r>
        <w:t>Aucune indemnité ne sera versée au recourant, faute de toute conclusion en ce sens (ACPR/102/2013 du 14 mars 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