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ACPR/178/2026 vom 17. Februar 2026</w:t>
      </w:r>
    </w:p>
    <w:p>
      <w:r>
        <w:t>GE Cour de justice, 2026-02-17, FR</w:t>
      </w:r>
    </w:p>
    <w:p>
      <w:r>
        <w:rPr>
          <w:b/>
        </w:rPr>
        <w:t xml:space="preserve">Quelle: </w:t>
      </w:r>
      <w:r>
        <w:t>https://mcp.opencaselaw.ch/entscheid/ge_gerichte_ACPR_178_2026</w:t>
      </w:r>
    </w:p>
    <w:p>
      <w:r>
        <w:t>FR: GE_GERICHTE ACPR/178/2026 du 17 février 2026</w:t>
      </w:r>
    </w:p>
    <w:p>
      <w:r>
        <w:t>IT: GE_GERICHTE ACPR/178/2026 del 17 febbraio 2026</w:t>
      </w:r>
    </w:p>
    <w:p>
      <w:pPr>
        <w:pStyle w:val="Heading2"/>
      </w:pPr>
      <w:r>
        <w:t>Erwägungen</w:t>
      </w:r>
    </w:p>
    <w:p>
      <w:r>
        <w:rPr>
          <w:b/>
        </w:rPr>
        <w:t>E. 1.1</w:t>
      </w:r>
    </w:p>
    <w:p>
      <w:r>
        <w:t>Le recours est recevable pour avoir été déposé selon la forme et dans le délai prescrits (art. 90 al. 2, 385 al. 1 et 396 al. 1 CPP), concerner une ordonnance sujette à</w:t>
      </w:r>
    </w:p>
    <w:p>
      <w:r>
        <w:t>- 6/13 - P/25449/2024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également recevables, la jurisprudence admettant la production de faits et moyens de preuve nouveaux en deuxième instance (arrêt du Tribunal fédéral 1B_550/2022 du 17 novembre 2022 consid. 2.1).</w:t>
      </w:r>
    </w:p>
    <w:p>
      <w:r>
        <w:rPr>
          <w:b/>
        </w:rPr>
        <w:t>E. 2</w:t>
      </w:r>
    </w:p>
    <w:p>
      <w:r>
        <w:t>Le recourant se plaint d'une constatation inexacte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w:t>
      </w:r>
    </w:p>
    <w:p>
      <w:r>
        <w:t>Partant, ce grief sera rejeté.</w:t>
      </w:r>
    </w:p>
    <w:p>
      <w:r>
        <w:rPr>
          <w:b/>
        </w:rPr>
        <w:t>E. 3</w:t>
      </w:r>
    </w:p>
    <w:p>
      <w:r>
        <w:t>Le recourant reproche au Ministère public de ne pas avoir ouvert une instruction.</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138 IV 86 consid. 4.1).</w:t>
      </w:r>
    </w:p>
    <w:p>
      <w:r>
        <w:t>- 7/13 - P/25449/2024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3.2</w:t>
      </w:r>
    </w:p>
    <w:p>
      <w:r>
        <w:t>L'art. 125 CP réprime le comportement de celui qui, par négligence,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3.3</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w:t>
      </w:r>
    </w:p>
    <w:p>
      <w:r>
        <w:rPr>
          <w:b/>
        </w:rPr>
        <w:t>E. 3.4</w:t>
      </w:r>
    </w:p>
    <w:p>
      <w:r>
        <w:t>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 Un comportement est la cause naturelle d'un résultat s'il en constitue l'une des conditions sine qua non, c'est-à-dire si, sans lui, le résultat ne se serait pas produit (ATF 133 IV 158 consid. 6.1).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w:t>
      </w:r>
    </w:p>
    <w:p>
      <w:r>
        <w:t>- 8/13 - P/25449/2024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w:t>
      </w:r>
    </w:p>
    <w:p>
      <w:r>
        <w:rPr>
          <w:b/>
        </w:rPr>
        <w:t>E. 3.5</w:t>
      </w:r>
    </w:p>
    <w:p>
      <w:r>
        <w:t>Selon l'art. 26 al. 1 de la loi fédérale sur la circulation routière (LCR),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143 IV 138 consid. 2.1).</w:t>
      </w:r>
    </w:p>
    <w:p>
      <w:r>
        <w:rPr>
          <w:b/>
        </w:rPr>
        <w:t>E. 3.6</w:t>
      </w:r>
    </w:p>
    <w:p>
      <w:r>
        <w:t>L'art. 36 LCR prévoit qu'avant d’obliquer à gauche, le conducteur accordera la priorité aux véhicules qui viennent en sens inverse (al. 3). Le conducteur qui veut engager son véhicule dans la circulation, faire demi-tour ou marche arrière ne doit pas entraver les autres usagers de la route; ces derniers bénéficient de la priorité (al. 4). L'art. 14 al. 1 OCR précise que celui qui est tenu d’accorder la priorité ne doit pas gêner dans sa marche le conducteur bénéficiaire de la priorité. Il réduira sa vitesse à temps et, s’il doit attendre, s’arrêtera avant le début de l’intersection. L'art. 36 al. 1 OSR prescrit que le signal "stop" oblige le conducteur à s’arrêter et à accorder la priorité aux véhicules circulant sur la route dont il s’approche. Le droit de priorité confère à son bénéficiaire le droit de circuler sans être gêné dans sa progression. Il ne l'exonère toutefois pas de ses devoirs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(cf. ATF</w:t>
      </w:r>
    </w:p>
    <w:p>
      <w:r>
        <w:t>- 9/13 - P/25449/2024 92 IV 138 consid. 1; arrêts du Tribunal fédéral 6B_69/2017 du 28 novembre 2017 consid. 2.2.2 et les références; 6B_335/2016 du 27 août 2015 consid. 1.4.2).</w:t>
      </w:r>
    </w:p>
    <w:p>
      <w:r>
        <w:rPr>
          <w:b/>
        </w:rPr>
        <w:t>E. 3.7</w:t>
      </w:r>
    </w:p>
    <w:p>
      <w:r>
        <w:t>Selon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w:t>
      </w:r>
    </w:p>
    <w:p>
      <w:r>
        <w:rPr>
          <w:b/>
        </w:rPr>
        <w:t>E. 3.8</w:t>
      </w:r>
    </w:p>
    <w:p>
      <w:r>
        <w:t>Aux termes de l'art. 31 al. 1 LCR, le conducteur devra rester constamment maître de son véhicule de façon à pouvoir se conformer aux devoirs de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arrêt du Tribunal fédéral 1C_179/2023 du 3 août 2023 consid. 3.1). Lorsqu'un conducteur doit prêter son attention visuelle principalement dans une direction déterminée, on peut admettre que son attention soit moindre dans les autres (ATF 122 IV 225 consid. 2b). Le conducteur doit avant tout porter son attention, outre sur sa propre voie de circulation, sur les dangers auxquels on doit s'attendre et peut ne prêter qu'une attention secondaire à d'éventuels comportements inhabituels ou aberrants (ATF 122 IV 225 consid. 2c; arrêt du Tribunal fédéral 6B_33/2021 du 12 juillet 2021 consid. 3.2.2).</w:t>
      </w:r>
    </w:p>
    <w:p>
      <w:r>
        <w:rPr>
          <w:b/>
        </w:rPr>
        <w:t>E. 3.9</w:t>
      </w:r>
    </w:p>
    <w:p>
      <w:r>
        <w:t>En l'occurrence, il est constant qu'une collision est intervenue entre les protagonistes et que le recourant a chuté de son vélo. Ce dernier soutient qu'il aurait marqué un temps d'arrêt au signal "stop", sis à l'intersection route de Vorpillaz – route du Moulin-de-la-Ratte, avant de s'engager sur la seconde nommée. Cela étant, il ressort de la procédure qu'il s'est engagé, obliquant à gauche, sur ladite route alors qu'un véhicule y circulait sur le côté droit de la chaussée, affirmant lui- même dans sa plainte être sorti du "stop" quand la voiture qui précédait le mis en cause passait. Il n'a ainsi, avant d'obliquer à gauche, pas accordé la priorité aux véhicules venant en sens inverse conformément à l'art. 36 al. 3 LCR. Il a ensuite circulé sur la partie gauche de la chaussée – soit celle réservée à la circulation en sens inverse –, puis s'est progressivement rabattu vers la droite de la chaussée, tel qu'observé par la témoin: '"il se trouvait au milieu de la chaussée, en vue de se rabattre à droite, à environ 50 mètres en aval de l'intersection" et par le mis en cause qui l'a aperçu au "milieu de la chaussée" au moment où le véhicule qui le précédait dépassait le cycliste par la droite. Le fait que le recourant ait circulé au milieu de la</w:t>
      </w:r>
    </w:p>
    <w:p>
      <w:r>
        <w:t>- 10/13 - P/25449/2024 chaussée et se soit rabattu à droite au moment du heurt est également corroboré par les photographies du vélo qui mettent en évidence un enfoncement sur le côté droit du pneu arrière, ce qui permet d'en déduire que le cycliste venait de la gauche par rapport à l'automobiliste et qu'il a ainsi omis de tenir sa droite conformément aux obligations prévues à l'art. 34 al. 1 LCR. De plus, lors de la manœuvre en cause, il n'a pas prêté égard au mis en cause et l'a gêné dans sa marche, alors que celui-ci était bénéficiaire de la priorité, ce qui contrevient aux art. 34 al. 3, 36 al. 4 LCR et 14 al. 1 OCR. Ces comportements du cycliste sont dès lors constitutifs de violations des règles de prudence applicables en matière de circulation routière. Aucun élément de la procédure ne permet, en outre, de retenir que le mis en cause aurait été distrait ou que sa vitesse aurait été trop élevée. En effet, il semble avoir été suffisamment attentif à l'approche de l'intersection, alléguant, sans pouvoir être contredit, avoir regardé la route et aperçu, à gauche [sur la route de Vorpillaz], des cyclistes. Il les avait par la suite perdus de vue en raison de la la configuration des lieux, la route du Moulin-de-la-Ratte décrivant une légère courbe à droite, élément corroboré par la vue aérienne des lieux de l'accident figurant au dossier et qui justifiait que son attention visuelle fût moindre dans les autres directions. De plus, dans la mesure où l'intersection route de Vorpillaz – route du Moulin-de-la-Ratte était régulée par un signal "stop", il n'était pas attendu de l'automobiliste qu'il ralentît ou s'arrêtât afin de céder la priorité au plaignant. Quant à la vitesse à laquelle il circulait au moment du choc, l'automobiliste a indiqué qu'elle était inférieure à 80 km/h, sur un tronçon limité à 80 km/h. En l'absence d'autres éléments, la BRA n'a pas été en mesure d'estimer cette vitesse, relevant qu'aucune caméra n'avait filmé l'accident, ce qui empêchait un calcul de la vitesse sur cette base. Rien ne permet toutefois de conclure que cette vitesse aurait été excessive ou inadaptée. Les conditions météorologiques étaient bonnes et la route était sèche et rectiligne à la hauteur de l'accident. L'absence de dégâts sur la carrosserie du véhicule, la gravité relative des lésions subies par le recourant et la densité de la circulation selon les protagonistes, sont des éléments qui plaident également en faveur du fait que le mis en cause conduisait à une vitesse adaptée et faisait ainsi preuve de prudence. Les déclarations du recourant ne suffisent donc pas, à elles- seules, à établir que l'automobiliste aurait circulé "trop vite", élément qui n'a au demeurant pas été relevé par la témoin. De surcroît, l'absence de traces de freinage du véhicule en cause peut s'expliquer par la soudaineté avec laquelle le cycliste a surgi au milieu de la chaussée et lui a coupé la route. L'automobiliste ne semble ainsi pas avoir été en mesure d'éviter la collision.</w:t>
      </w:r>
    </w:p>
    <w:p>
      <w:r>
        <w:t>- 11/13 - P/25449/2024 Dans ces circonstances, aucun élément concret ne permet de retenir que le mis en cause aurait violé de manière fautive une règle de prudence. De plus, compte tenu des développements qui précèdent, l'automobiliste, bénéficiaire de la priorité, ne pouvait pas s'attendre à ce qu'un cycliste circule – à contresens – sur la partie gauche de la chaussée, puis se rabatte à droite sans lui prêter égard comme le lui imposaient les règles de la circulation routière énumérées ci-avant. Il s'ensuit que, même en présence d'une violation fautive d'une règle de prudence par le mis en cause, le comportement du recourant était non seulement fautif mais également prépondérant, de telle manière qu'il semble s'imposer comme la cause la plus probable et la plus immédiate de l'évènement considéré. Aucun autre acte d'enquête ne permettrait d'aboutir à un constat différent. Le recourant n'en sollicite du reste pas. Partant, il n'existe pas de soupçons suffisants permettant d'établir la réalisation des éléments constitutifs de l'infraction de lésions corporelles par négligence (art. 125 CP). Le Ministère public était dès lors fondé à ne pas entrer en matière sur la plainte du recourant.</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lesquels seront prélevés sur les sûretés versées.</w:t>
      </w:r>
    </w:p>
    <w:p>
      <w:r>
        <w:rPr>
          <w:b/>
        </w:rPr>
        <w:t>E. 6</w:t>
      </w:r>
    </w:p>
    <w:p>
      <w:r>
        <w:t>Corrélativement, aucun dépens ne lui sera alloué (ATF 144 IV 207, consid. 1.8.2). * * * * *</w:t>
      </w:r>
    </w:p>
    <w:p>
      <w:r>
        <w:t>- 12/13 - P/25449/2024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