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ACPR/175/2025 vom 9. Februar 2025</w:t>
      </w:r>
    </w:p>
    <w:p>
      <w:r>
        <w:t>GE Cour de justice, 2025-02-09, FR</w:t>
      </w:r>
    </w:p>
    <w:p>
      <w:r>
        <w:rPr>
          <w:b/>
        </w:rPr>
        <w:t xml:space="preserve">Quelle: </w:t>
      </w:r>
      <w:r>
        <w:t>https://mcp.opencaselaw.ch/entscheid/ge_gerichte_ACPR_175_2025</w:t>
      </w:r>
    </w:p>
    <w:p>
      <w:r>
        <w:t>FR: GE_GERICHTE ACPR/175/2025 du 9 février 2025</w:t>
      </w:r>
    </w:p>
    <w:p>
      <w:r>
        <w:t>IT: GE_GERICHTE ACPR/175/2025 del 9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à tout le moins les charges de vol.</w:t>
      </w:r>
    </w:p>
    <w:p>
      <w:r>
        <w:t>- 6/11 - P/20945/2024</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l'occurrence, quand bien même son co-prévenu D______ le met hors de cause, les circonstances de l'interpellation du recourant, passager d'une voiture volée munie de plaques d'immatriculation dérobéees également, après une course poursuite avec les forces de l'ordre, constituent de forts indices en faveur de l'implication de l'intéressé dans les faits reprochés. Ces indices sont accentués par ses déclarations fluctuantes selon lesquelles il avait participé à l'achat du véhicule avec ses amis, pour le prix de EUR 1'200.-, déclarations qu'il tente aujourd'hui de remettre en cause en affirmant que lorsqu'il avait parlé de "nous", il faisait seulement référence au fait qu'il était en compagnie de D______ et d'un dénommé "J______", dont il ignorait tout. Force est ainsi de constater qu'à ce stade précoce de l'enquête, les soupçons visant le recourant restent entiers, ce d'autant qu'ils ne se limitent pas à des infractions de vols mais concernent également, notamment, des infractions à la LEI.</w:t>
      </w:r>
    </w:p>
    <w:p>
      <w:r>
        <w:rPr>
          <w:b/>
        </w:rPr>
        <w:t>E. 3</w:t>
      </w:r>
    </w:p>
    <w:p>
      <w:r>
        <w:t>Le recourant conteste tout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w:t>
      </w:r>
    </w:p>
    <w:p>
      <w:r>
        <w:t>- 7/11 - P/20945/2024 (ATF 137 IV 122 consid. 4.2; 132 I 21 consid. 3.2; arrêt du Tribunal fédéral 1B_577/2020 du 2 décembre 2020 consid. 3.1).</w:t>
      </w:r>
    </w:p>
    <w:p>
      <w:r>
        <w:rPr>
          <w:b/>
        </w:rPr>
        <w:t>E. 3.2</w:t>
      </w:r>
    </w:p>
    <w:p>
      <w:r>
        <w:t>En l'espèce, si ce risque peut certes a priori être écarté vis-à-vis des parties plaignantes, dont rien n'indique que le recourant les connaîtrait, tel n'est pas le cas vis- à-vis du co-prévenu D______, une confrontation avec lui devant être agendée par le Ministère public. Or, il convient d'éviter que ces deux protagonistes ne puissent s'entendre sur une version commune, compte tenu de leurs déclarations contradictoires. Les intéressés ayant tous deux été placés à l'isolement à la prison, le risque de collusion entre eux est à ce stade contenu. Tel ne pourrait toutefois plus être le cas si le recourant venait à être libéré. Mais surtout, il serait alors en mesure d'entrer en contact avec les autres personnes impliquées et non encore identifiées, soit les dénommés "J______" et "K______".</w:t>
      </w:r>
    </w:p>
    <w:p>
      <w:r>
        <w:t>Aucune mesure de substitution suffisante – que le recourant ne propose du reste pas – ne pourrait pallier ce risque.</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l'occurrence, le prévenu est de nationalité étrangère, est sans domicile connu et n'a aucun lien ni attache avec la Suisse. Le risque qu'il se soustraie à la justice est ainsi particulièrement concret, compte tenu de la peine menace et concrètement encourue – le Ministère public envisageant par ailleurs de révoquer un précédent sursis portant sur une peine privative de liberté de 150 jours –. L'engagement du recourant de ne pas fuir et de vouloir continuer à collaborer avec la justice n'apparaît pas suffisant, compte tenu de l'acuité du risque, et on ne voit pas quelle autre mesure de substitution adéquate – que l'intéressé ne propose du reste pas – serait de nature à pallier ce risque.</w:t>
      </w:r>
    </w:p>
    <w:p>
      <w:r>
        <w:rPr>
          <w:b/>
        </w:rPr>
        <w:t>E. 5</w:t>
      </w:r>
    </w:p>
    <w:p>
      <w:r>
        <w:t>Le risque de réitération n'ayant pas été retenu par le premier juge, il n'y pas besoin de s'y pencher.</w:t>
      </w:r>
    </w:p>
    <w:p>
      <w:r>
        <w:rPr>
          <w:b/>
        </w:rPr>
        <w:t>E. 6.1</w:t>
      </w:r>
    </w:p>
    <w:p>
      <w:r>
        <w:t>À teneur des art. 197 al. 1 et 212 al. 3 CPP, les autorités pénales doivent respecter le principe de la proportionnalité lorsqu'elles appliquent des mesures de contrainte,</w:t>
      </w:r>
    </w:p>
    <w:p>
      <w:r>
        <w:t>- 8/11 - P/20945/2024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En l'espèce, la durée de la détention provisoire prononcée jusqu'au 6 avril 2025 s'avère nécessaire pour permettre au Ministère public de procéder aux actes d'instruction annoncés. Elle ne saurait être réduite à fin février 2025, comme requis par le recourant. Elle n'est pas davantage excessive, eu égard à la peine concrètement encourue par l'intéressé si les faits reprochés devaient être retenus par l'autorité de jugement. Pour le surplus, il n'est pas établi que le service médical de la prison de Champ-Dollon ne serait pas en mesure de prodiguer, ou faire prodiguer, les soins nécessités par les maux – au demeurant non documentés – dont le recourant se plaint.</w:t>
      </w:r>
    </w:p>
    <w:p>
      <w:r>
        <w:rPr>
          <w:b/>
        </w:rPr>
        <w:t>E. 7</w:t>
      </w:r>
    </w:p>
    <w:p>
      <w:r>
        <w:t>Le recours s'avère ainsi infondé et sera rejeté.</w:t>
      </w:r>
    </w:p>
    <w:p>
      <w:r>
        <w:rPr>
          <w:b/>
        </w:rPr>
        <w:t>E. 8</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t>L'indemnité du défenseur d'office sera fixée à la fin de la procédure (art. 135 al. 2 CPP).</w:t>
      </w:r>
    </w:p>
    <w:p>
      <w:r>
        <w:t>- 9/11 - P/20945/2024 * * * * *</w:t>
      </w:r>
    </w:p>
    <w:p>
      <w:r>
        <w:t>- 10/11 - P/20945/2024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