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ACPR/174/2026 vom 17. Februar 2026</w:t>
      </w:r>
    </w:p>
    <w:p>
      <w:r>
        <w:t>GE Cour de justice, 2026-02-17, FR</w:t>
      </w:r>
    </w:p>
    <w:p>
      <w:r>
        <w:rPr>
          <w:b/>
        </w:rPr>
        <w:t xml:space="preserve">Quelle: </w:t>
      </w:r>
      <w:r>
        <w:t>https://mcp.opencaselaw.ch/entscheid/ge_gerichte_ACPR_174_2026</w:t>
      </w:r>
    </w:p>
    <w:p>
      <w:r>
        <w:t>FR: GE_GERICHTE ACPR/174/2026 du 17 février 2026</w:t>
      </w:r>
    </w:p>
    <w:p>
      <w:r>
        <w:t>IT: GE_GERICHTE ACPR/174/2026 del 17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- 5/9 - P/11013/2019</w:t>
      </w:r>
    </w:p>
    <w:p>
      <w:r>
        <w:rPr>
          <w:b/>
        </w:rPr>
        <w:t>E. 2</w:t>
      </w:r>
    </w:p>
    <w:p>
      <w:r>
        <w:t>Le recourant conteste l'existence de charges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les charges reposent sur les déclarations de C______, interpellé en possession de 82.8 grammes de cocaïne, qui met en cause le recourant, lesquelles sont corroborées par les données relatives au raccordement effectivement utilisé par celui- ci au moment des faits, dont le numéro était enregistré dans le téléphone de C______, ainsi que par la présence en Suisse du recourant au moment des faits. Ces éléments à charge ne se sont pas amoindris depuis la mise en détention du recourant le 11 janvier 2026, contre laquelle il n'a pas recouru. Au vu de ce qui précède, c'est à bon droit que le premier juge a retenu l'existence de charges suffisantes justifiant la prolongation de la détention provisoire du recourant.</w:t>
      </w:r>
    </w:p>
    <w:p>
      <w:r>
        <w:rPr>
          <w:b/>
        </w:rPr>
        <w:t>E. 3</w:t>
      </w:r>
    </w:p>
    <w:p>
      <w:r>
        <w:t>Le recourant conteste l'existence d'un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 recourant allègue un ancrage personnel, familial et professionnel particulièrement solide. Il ressort de ses déclarations et du dossier que cet ancrage, qu'il n'est pas nécessaire de qualifier à ce stade, se situe à H______, soit en France.</w:t>
      </w:r>
    </w:p>
    <w:p>
      <w:r>
        <w:t>- 6/9 - P/11013/2019 Il en découle qu'il existe un risque de fuite, y compris sous forme de non-comparution aux audiences d'instruction et de jugement. La seule présence à Genève d'un frère qui résiderait en situation régulière ne suffit pas à renverser cette conclusion.</w:t>
      </w:r>
    </w:p>
    <w:p>
      <w:r>
        <w:rPr>
          <w:b/>
        </w:rPr>
        <w:t>E. 4</w:t>
      </w:r>
    </w:p>
    <w:p>
      <w:r>
        <w:t>L'admission du risque de fuite, évident, dispense d'examiner s'il s'y ajouterait le risque alternatif de collusion (arrêts du Tribunal fédéral 7B_144/2025 du 24 mars 2025 consid. 3.3; 1B_34/2023 du 13 février 2023 consid. 3.3).</w:t>
      </w:r>
    </w:p>
    <w:p>
      <w:r>
        <w:rPr>
          <w:b/>
        </w:rPr>
        <w:t>E. 5</w:t>
      </w:r>
    </w:p>
    <w:p>
      <w:r>
        <w:t>Le recourant estime que des mesures de substitution devraient être ordonnées.</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liste des mesures de substitution énoncée à l'art. 237 CPP n'est pas exhaustive (arrêt du Tribunal fédéral 1B_654/2011 du 7 décembre 2011 consid. 4.2). À teneur de l'art. 238 CPP, le tribunal peut en effet,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 comparution à l'audience agira sur lui comme un frein suffisant pour éviter toute velléité de fuite" (ATF 105 Ia 186 consid. 4a,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1P.690/2004 du 14 décembre 2004 consid. 2.4.3 et les références).</w:t>
      </w:r>
    </w:p>
    <w:p>
      <w:r>
        <w:rPr>
          <w:b/>
        </w:rPr>
        <w:t>E. 5.2</w:t>
      </w:r>
    </w:p>
    <w:p>
      <w:r>
        <w:t>En l'occurrence, s'agissant de possibles mesures de substitution destinées à pallier le risque de fuite, le dossier ne permet pas, comme relevé à juste titre par le TMC, de déterminer la situation financière et personnelle du prévenu, et partant le montant approprié de possibles sûretés. Le recourant n'a d'ailleurs fourni aucun élément complémentaire à l'appui de son recours, pas même dans les écritures de son avocate, et ne propose toujours aucun montant. L’engagement de déférer à toute convocation ne paraît par ailleurs à lui seul pas suffisant au regard de la peine concrètement encourue.</w:t>
      </w:r>
    </w:p>
    <w:p>
      <w:r>
        <w:t>- 7/9 - P/11013/2019</w:t>
      </w:r>
    </w:p>
    <w:p>
      <w:r>
        <w:rPr>
          <w:b/>
        </w:rPr>
        <w:t>E. 6</w:t>
      </w:r>
    </w:p>
    <w:p>
      <w:r>
        <w:t>La détention provisoire jusqu'au 3 mars 2026 s'avère nécessaire pour permettre au Ministère public et à la police de procéder aux actes d'enquête annoncés. D'autre part, la gravité des faits qui sont reprochés au recourant justifie la prolongation de sa détention provisoire, laquelle n'apparait pas excessive et est conforme au principe de la proportionnalité (art. 197 al. 1 CPP).</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malgré l'issue du recours, un premier contrôle des charges par l'autorité de recours pouvait se justifier en début de détention. L'indemnité du défenseur d'office sera fixée à la fin de la procédure (art. 135 al. 2 CPP). * * * * *</w:t>
      </w:r>
    </w:p>
    <w:p>
      <w:r>
        <w:t>- 8/9 - P/11013/2019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