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ACPR/174/2021 vom 29. September 2020</w:t>
      </w:r>
    </w:p>
    <w:p>
      <w:r>
        <w:t>GE Cour de justice, 2020-09-29, FR</w:t>
      </w:r>
    </w:p>
    <w:p>
      <w:r>
        <w:rPr>
          <w:b/>
        </w:rPr>
        <w:t xml:space="preserve">Quelle: </w:t>
      </w:r>
      <w:r>
        <w:t>https://mcp.opencaselaw.ch/entscheid/ge_gerichte_ACPR_174_2021</w:t>
      </w:r>
    </w:p>
    <w:p>
      <w:r>
        <w:t>FR: GE_GERICHTE ACPR/174/2021 du 29 septembre 2020</w:t>
      </w:r>
    </w:p>
    <w:p>
      <w:r>
        <w:t>IT: GE_GERICHTE ACPR/174/2021 del 29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établi les faits de manière lacunaire et arbitraire, en ignorant sa lettre du 24 mars 2020. 2.1.1. 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 2.1.2. 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ACPR/529/2012 du 27 novembre 2012).</w:t>
      </w:r>
    </w:p>
    <w:p>
      <w:r>
        <w:rPr>
          <w:b/>
        </w:rPr>
        <w:t>E. 2.2</w:t>
      </w:r>
    </w:p>
    <w:p>
      <w:r>
        <w:t>En l’espèce, 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étant observé que la décision entreprise reprend de manière suffisante les faits nécessaires à sa compréhension et n’ignore nullement la lettre du conseil du recourant du 24 mars 2020. Au surplus, l’arbitraire dont se plaint le recourant n’est pas étayé et rien de perceptible en ce sens ne ressort de la décision entreprise. Enfin, l’exposé des faits du Ministère public et les considérations juridiques émises étaient suffisamment complètes pour ne pas entraver le recourant dans le choix des arguments propres à motiver son recours.</w:t>
      </w:r>
    </w:p>
    <w:p>
      <w:r>
        <w:t>- 8/15 - P/6384/2020 Le grief doit par conséquent être écarté.</w:t>
      </w:r>
    </w:p>
    <w:p>
      <w:r>
        <w:rPr>
          <w:b/>
        </w:rPr>
        <w:t>E. 3</w:t>
      </w:r>
    </w:p>
    <w:p>
      <w:r>
        <w:t>Le recourant reproche au Procureur d'avoir rendu une ordonnance de non-entrée en matière alors qu'une instruction avait été selon lui de facto ouverte, le magistrat ayant fait verser à la procédure le dossier le concernant, constitué dès son admission à B______. Il se plaint aussi d'une violation de son droit d'être entendu, dès lors qu'il n'a pas participé à l'administration des preuves avant que le Ministère public ne rende son ordonnance, laquelle est à tort dépourvue du contenu de l'art. 310 CPP et des dispositions du Code pénal qui auraient pu être violées. 3.1.1.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durant la phase qui précède l'ouverture d'une instruction à ses propres constatations (l'art. 309 al. 1 let. a CPP). Cela comprend le droit de consulter les fichiers, dossiers et renseignements disponibles. Il en va de même lorsque le ministère public demande à la personne mise en cause une simple prise de position (arrêts 6B_290/2020 du 17 juillet 2020 consid. 2.3 ; 6B_810/2019 du 22 juillet 2019 consid. 2.1; 6B_239/2019 du 24 avril 2019 consid. 2.1; 6B_1096/2018 du 25 janvier 2019 consid. 2.2; 6B_496/2018 du 6 septembre 2018 consid. 1.3). Avant l'ouverture d'une instruction, le droit de participer à l'administration des preuves ne s'applique en principe pas (art. 147 al. 1 CPP a contrario; ATF 143 IV 397 consid. 3.3.2 i.f. p. 403; 140 IV 172 consid. 1.2.2 p. 175), et ce y compris en cas d'investigations policières diligentées à titre de complément d'enquête requis par le ministère public en vertu de l'art. 309 al. 2 CPP (arrêts 6B_1385/2019 du 27 février 2020 consid. 1.1 et la référence citée;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w:t>
      </w:r>
    </w:p>
    <w:p>
      <w:r>
        <w:t>- 9/15 - P/6384/2020 CPP). Cette procédure permet aux parties de faire valoir tous leurs griefs - formels et matériels -auprès d'une autorité disposant d'une pleine cognition en fait et en droit (cf. art. 391 al. 1 et 393 al. 2 CPP; arrêts 6B_673/2019 du 31 octobre 2019 consid. 2.2; 6B_810/2019 du 22 juillet 2019 consid. 2.1; 6B_239/2019 du 24 avril 2019 consid. 2.1; 6B_1096/2018 du 25 janvier 2019 consid. 2.2). L'instruction pénale est considérée comme ouverte dès que le ministère public ordonne des mesures de contrainte. 3.1.2. En l'espèce, après avoir reçu la plainte, le Ministère public a sollicité les dossiers de l’Office et de B______, nécessaires à une première prise de position, et c’est la seule opération effectuée avant que l'ordonnance de non-entrée en matière litigieuse ne soit rendue. Cette activité non contraignante ne saurait impliquer à elle seule une ouverture d'instruction. Partant, aucune décision formelle n'ayant été prise comprenant les mentions stipulées à l'art. 309 CPP, contrairement à l’avis du recourant, la procédure n'a pas dépassé le stade des premières investigations et l'instruction n’a pas été matériellement ouverte. Le Ministère public était ainsi en droit de considérer que le dossier en sa possession, exempt d’indices de commission d’une infraction, lui permettait de statuer par le biais d’une ordonnance de non-entrée en matière (cf. art. 310 al. 1 let. a CPP) sans en aviser au préalable le recourant ni recueillir ses déterminations. Infondé, le grief tiré d'une violation du droit d'être entendu doit donc être écarté. S'agissant de l'apport du dossier de l'institution dont le comportement des membres est précisément visé par la plainte, le Ministère public a formé une demande de transmission entre autorités administrative et judiciaire au sens de l'art. 194 al. 2 CPP, ce qui ne constitue pas une mesure de contrainte et ne l’empêchait pas de rendre une ordonnance de non-entrée en matière. Le grief doit donc également être écarté. 3.2.1. À teneur de l'art. 81 CPP, le dispositif d’une décision doit contenir la désignation des dispositions légales dont il a été fait application. En principe, celles-ci sont énoncées par leur numéro d’article, dans l’ordre de la systématique de la loi, en mentionnant d’abord les dispositions de droit de fond, puis celles de procédure. Toutefois, en cas de classement, et ceci doit aussi valoir à l’occasion d’un refus d’entrer en matière, les dispositions légales appliquées ne doivent pas nécessairement être indiquées de façon détaillée. Il suffit, par exemple, d’indiquer le principe ou l’infraction à laquelle il est fait référence, sans qu’il soit nécessaire de mentionner l’article appliqué (Y. JEANNERET / A. KUHN / C. PERRIER DEPEURSINGE (éds), op. cit., n. 18 à 21 ad art. 81 CPP). Il n'est nulle part mentionné, dans le code de procédure pénale, que les dispositions légales</w:t>
      </w:r>
    </w:p>
    <w:p>
      <w:r>
        <w:t>- 10/15 - P/6384/2020 appliquées devraient figurer dans le corps de la décision de façon complète, a fortiori détaillées. 3.2.2. En l'espèce, la décision querellée, qui clôt la procédure, comprend un dispositif qui cite la disposition légale appliquée, conformément aux exigences posées par l'art. 81 al. 1 let. c CPP, et toutes les mentions figurant à l'art. 81 al. 4 CPP. Elle n’est en conséquence nullement attaquable et le recourant, assisté par son conseil, ne saurait prétendre avoir ignoré son contenu et sa portée juridique, ce qu'il démontre à travers ses écritures de recours. Cet argument se situe à l'orée de la témérité.</w:t>
      </w:r>
    </w:p>
    <w:p>
      <w:r>
        <w:rPr>
          <w:b/>
        </w:rPr>
        <w:t>E. 4</w:t>
      </w:r>
    </w:p>
    <w:p>
      <w:r>
        <w:t>Le recourant conteste le bien-fondé de la décision attaquée.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4.2.1. Le Tribunal fédéral a posé que le traitement institutionnel des troubles mentaux prévu par l'art. 59 CP ne se limitait pas au seul internement mais comprenait également le traitement médical ou les soins spéciaux, voire la médication forcée, si celle-ci se révélait nécessaire et respectait la déontologie médicale (arrêt du Tribunal fédéral 5A_96/2015 du 26 février 2015 de la IIe Cour de droit civil; ATF 130 IV 49 consid. 3.3; 127 IV 154 consid. 3d), ajoutant que la nécessité d'avoir recours à une médication forcée pouvait n'apparaître que lors de l'exécution de la mesure. Dans cette éventualité, il appartenait aux autorités d'exécution compétentes d’ordonner une médication forcée, pour autant qu’elle corresponde au but de la mesure et s'inscrive dans le cadre du traitement déterminé par le jugement pénal (ATF 130 IV 49 consid. 3.3).</w:t>
      </w:r>
    </w:p>
    <w:p>
      <w:r>
        <w:t>- 11/15 - P/6384/2020 Dans un arrêt plus récent, le Tribunal fédéral a précisé que la médication forcée a pour but de donner à la mesure institutionnelle des chances de succès et de conduire à une amélioration du pronostic légal (arrêt 6B_1091/2019 du 16 octobre 2019 consid. 4.4). Pour les auteurs du Commentaire bâlois (M. NIGGLI / H. WIPRÄCHTIGER, Basler Kommentar Strafrecht I : Art. 1-136 StGB, Jugendstrafgesetz, 4e éd., Bâle 2019, n. 84a ad art. 59 CP), une mesure institutionnelle au sens de l'art. 59 CP ne signifie pas seulement une restriction de la liberté de mouvement, mais comprend régulièrement d'autres interventions résultant de la nécessité d'un traitement ("sondern umfasst regelmässig auch weitere Eingriffe, die sich aus der Notwendigkeit der Behandlung ergeben"). 4.2.2. La médication sous contrainte constitue une atteinte grave à l'intégrité corporelle et psychique (art. 10 al. 2 Cst. et art. 8 ch. 1 CEDH); elle touche au cœur même de la dignité humaine (ATF 127 I 6 consid. 5 p. 10; 130 I 16 consid. 3 p. 18). En plus de l'exigence d'une base légale formelle (constituée en l'occurrence par l'art. 59 CP; v. ATF 134 I 221 consid. 3.3.2 p. 228 in fine; 130 IV 49 consid. 3.3 p. 52; arrêt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sans ignorer les effets secondaires persistant à long terme des neuroleptiques administrés sous contrainte (ATF 130 I 16 consid. 5.3 p. 21).</w:t>
      </w:r>
    </w:p>
    <w:p>
      <w:r>
        <w:rPr>
          <w:b/>
        </w:rPr>
        <w:t>E. 4.3</w:t>
      </w:r>
    </w:p>
    <w:p>
      <w:r>
        <w:t>En l’espèce, le recourant propose une argumentation qui repose exclusivement sur l’appréciation de sa mère, qu’il a répercutée à son conseil et dont ce dernier s'est servi pour fonder sa plainte, sans décrire en quoi la perception par un tiers non impliqué de l’opportunité de la médication administrée serait à prendre en considération, ce d'autant que cette prise de position éminemment subjective est contraire au dossier et n'est étayée par aucun avis médical extérieur. Cette appréciation méconnaît que les autorités d'exécution des peines sont compétentes en matière de médication au regard de l'art. 59 CP, pour peu que le but de la mesure et le type de traitement corresponde à ce qui avait été envisagé par le juge pénal au stade du prononcé de la mesure (ATF 130 IV 49 consid. 3 p. 50 ss; arrêt 6B_821/2018 du 26 octobre 2018 consid. 2.1), ce qui est le cas en l’espèce, ce que le recourant ne conteste au demeurant pas. Ainsi, à défaut d’éléments concrets, voire de simples indices d’une contrainte ou d’un abus d’autorité, c’est à juste titre que le Ministère public a considéré que la mesure institutionnelle était administrée correctement, dans le but d'assurer l’encadrement du recourant et que rien ne permettait de retenir qu'au moment du dépôt de la plainte il n’admettait pas la médication reçue. Ce constat exclut indubitablement l’usage de la contrainte. En conséquence, une seule affirmation, créée sans fondement autre qu’une lettre, ne saurait permettre au recourant d’obtenir l’ouverture d’une procédure pénale, ce</w:t>
      </w:r>
    </w:p>
    <w:p>
      <w:r>
        <w:t>- 12/15 - P/6384/2020 d’autant que d’autres voies, auprès de l’Office notamment, lui sont ouvertes pour solliciter une modification de son traitement. Partant, la décision entreprise doit être confirmée.</w:t>
      </w:r>
    </w:p>
    <w:p>
      <w:r>
        <w:rPr>
          <w:b/>
        </w:rPr>
        <w:t>E. 5</w:t>
      </w:r>
    </w:p>
    <w:p>
      <w:r>
        <w:t>Le recourant sollicite l'assistance judiciaire pour l'activité déployée par son conseil dans la procédure de recours.</w:t>
      </w:r>
    </w:p>
    <w:p>
      <w:r>
        <w:rPr>
          <w:b/>
        </w:rPr>
        <w:t>E. 5.1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5.2.1. Le recourant, partie plaignante, ne peut se prévaloir du droit à l'assistance judiciaire sur la base de l'art. 136 al. 1 CPP, faute de pouvoir invoquer dans la procédure pénale des conclusions civiles directement contre des agents publics qu’au demeurant il ne vise pas spécifiquement (cf. arrêt 1B_561/2019 du 12 février 2020 consid. 2.2 et les réf. cit.). Il fait toutefois valoir un droit à l'assistance judiciaire sur la base de l'art. 29 al. 3 Cst. 5.2.1.1. 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 Pour tomber sous le coup de ces dispositions, le traitement dénoncé doit en principe être intentionnel et atteindre un minimum de gravité (arrêts 1B_771/2012 du 20 août 2013 consid. 1.2.2 publié in PJA 2013 1688; 1B_729/2012 précité consid. 2.1 et les arrêts cités). 5.2.1.2. Tel n'est manifestement pas le cas en l'espèce, ne serait-ce que parce que le traitement dont le recourant se plaint lui est administré en application de la loi et conformément à son but. La description de ce traitement telle qu'elle figure au dossier et l’adhésion avérée du recourant à son administration excluent que les faits dénoncés puissent constituer un traitement inhumain ou dégradant au sens</w:t>
      </w:r>
    </w:p>
    <w:p>
      <w:r>
        <w:t>- 13/15 - P/6384/2020 notamment des art.10 al. 3 Cst. et 3 CEDH. L’une des conditions de l’octroi de l'assistance judiciaire gratuite n’est donc pas remplie. 5.3.1.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La situation doit être appréciée à la date du dépôt de la requête et sur la base d'un examen sommaire (ATF 133 III 614 consid. 5). 5.3.2. En l'espèce, le recourant n’a étayé sa plainte que par la conviction de sa mère, qu'il partage, tous deux considérant, sans soutien médical quelconque, que la médication acceptée serait inadéquate et que tout refus de la prendre à quelque moment que ce soit constituerait une barrière infranchissable pour les médecins en charge de sa santé et obligés par décision de justice à la lui administrer. La médication contestée étant conforme au mandat judiciaire, il est difficile de discerner quelle faute aurait été commise et par qui, ce que le recourant se garde bien de préciser et de qualifier juridiquement. Dès lors, en l’absence d’indices soutenant ces récriminations, il appartenait au Ministère public, ainsi qu’il l’a fait, de ne pas entrer en matière, démontrant ainsi l’absence de chance de succès de la plainte, seconde raison de ne pas accorder au recourant le bénéfice de l’assistance judiciaire. La demande d'assistance judiciaire gratuite doit dès lors être rejetée.</w:t>
      </w:r>
    </w:p>
    <w:p>
      <w:r>
        <w:rPr>
          <w:b/>
        </w:rPr>
        <w:t>E. 6</w:t>
      </w:r>
    </w:p>
    <w:p>
      <w:r>
        <w:t>Le recours sera dès lors rejeté et l'ordonnance querellée, confirmée.</w:t>
      </w:r>
    </w:p>
    <w:p>
      <w:r>
        <w:rPr>
          <w:b/>
        </w:rPr>
        <w:t>E. 7</w:t>
      </w:r>
    </w:p>
    <w:p>
      <w:r>
        <w:t>Le recourant, qui succombe, supportera les frais envers l'État, qui seront fixés, pour tenir compte de sa situation économique, à CHF 400.- en totalité (art. 428 al. 1 CPP et 13 al. 1 du Règlement fixant le tarif des frais en matière pénale, RTFMP ; E 4 10.03), étant précisé que le refus d'assistance judiciaire gratuite est rendu sans frais (art. 20 RAJ). * * * * *</w:t>
      </w:r>
    </w:p>
    <w:p>
      <w:r>
        <w:t>- 14/15 - P/6384/2020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