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ACPR/172/2025 vom 9. Januar 2025</w:t>
      </w:r>
    </w:p>
    <w:p>
      <w:r>
        <w:t>GE Cour de justice, 2025-01-09, FR</w:t>
      </w:r>
    </w:p>
    <w:p>
      <w:r>
        <w:rPr>
          <w:b/>
        </w:rPr>
        <w:t xml:space="preserve">Quelle: </w:t>
      </w:r>
      <w:r>
        <w:t>https://mcp.opencaselaw.ch/entscheid/ge_gerichte_ACPR_172_2025</w:t>
      </w:r>
    </w:p>
    <w:p>
      <w:r>
        <w:t>FR: GE_GERICHTE ACPR/172/2025 du 9 janvier 2025</w:t>
      </w:r>
    </w:p>
    <w:p>
      <w:r>
        <w:t>IT: GE_GERICHTE ACPR/172/2025 del 9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Se rend coupable d'escroquerie au sens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 plan. Une responsabilité de la victime excluant la punissabilité de l'auteur de la tromperie ne sera admise que dans des cas exceptionnels (ATF 142 IV 153 consid. 2.2.2; 135 IV 76 consid. 5.2; arrêt du Tribunal fédéral 6B_645/2021 du 28 avril 2022 consid. 3.1).</w:t>
      </w:r>
    </w:p>
    <w:p>
      <w:r>
        <w:rPr>
          <w:b/>
        </w:rPr>
        <w:t>E. 2.3</w:t>
      </w:r>
    </w:p>
    <w:p>
      <w:r>
        <w:t>Commet un abus de confiance, au sens de l'art. 138 ch. 1 al. 2 CP, la personne qui, sans droit, emploie à son profit des valeurs patrimoniales qui lui ont été confiées.</w:t>
      </w:r>
    </w:p>
    <w:p>
      <w:r>
        <w:t>- 5/8 - P/277/2025 Cette infraction suppose qu'une valeur ait été confiée, autrement dit que l'auteur ait acquis la possibilité d'en disposer, mais que, conformément à un accord (exprès ou tacite) ou un autre rapport juridique, il ne puisse en faire qu'un usage déterminé (ATF 143 IV 297 consid. 1.3; 133 IV 21 consid. 6.2). Le comportement délictueux consiste à utiliser la valeur patrimoniale contrairement aux instructions reçues, en s'écartant de la destination fixée (ATF 129 IV 257 consid. 2.2.1). Celui qui transfert des valeurs patrimoniales à un tiers en contrepartie d'une prestation ne les lui "confie" pas, de sorte que le tiers ne peut pas être puni pour abus de confiance s'il ne verse pas la contre-prestation (ATF 133 IV 21 consid 6 et 7; 118 IV 239 consid. 2b). Un abus de confiance peut entrer exceptionnellement en ligne de compte dans le contexte d'un prêt. Tel est notamment le cas lorsque le contrat de prêt contient une obligation, à charge de l’emprunteur, de conserver la contre-valeur de ce qu’il a reçu, soit une obligation de rembourser en tout temps. Il est toutefois nécessaire que l’affectation des valeurs patrimoniales soit définie avec clarté et serve à couvrir les risques du prêteur ou, du moins, à diminuer son risque de perte. L'affectation convenue doit donc représenter en elle-même une forme de garantie. L'utilisation de l'argent prêté contrairement à sa destination convenue peut dès lors être constitutive d'abus de confiance lorsqu'elle remet en cause cet objectif et s'avère propre à causer un dommage (ATF 129 IV 257 consid. 2.2.2 et 2.3; M. DUPUIS / L. MOREILLON / C. PIGUET / S. BERGER / M. MAZOU / V. RODIGARI (éds), Code pénal - Petit commentaire, 2ème éd., Bâle 2017, n. 35 ad art. 138).</w:t>
      </w:r>
    </w:p>
    <w:p>
      <w:r>
        <w:rPr>
          <w:b/>
        </w:rPr>
        <w:t>E. 2.4</w:t>
      </w:r>
    </w:p>
    <w:p>
      <w:r>
        <w:t>En l'espèce, le recourant explique avoir prêté – par amitié – un total de CHF 41'723.59 au mis en cause, lequel lui en aurait remboursé CHF 12'000.-. Si, pour lui, il est "hautement vraisemblable" que le mis en cause aurait profité de ce lien amical pour asseoir sa tromperie astucieuse, il ne fournit toutefois aucun détail sur les moyens usés pour le duper, ni sur les raisons qui l'auraient empêché de les vérifier. Au contraire, il ressort plutôt du dossier que le mis en cause a bel et bien utilisé une partie de l'argent prêté pour acquérir un bien immobilier à C______. Il n'est également pas établi, ni même allégué par le recourant, que le mis en cause aurait inventé les soucis financiers liés à son divorce et qui ont donné lieu aux avances de "petites sommes" dès 2021. De surcroît, les montants dont il est question ici ont été partiellement remboursés au recourant. Pour les sommes versées en 2024, dans le cadre des démarches visant prétendument à "débloquer" les avoirs bancaires, si tromperie il devait y avoir – question qui peut souffrir de rester indécise –, elle ne serait de toute manière pas astucieuse. Le recourant ne prétend pas avoir procédé à la moindre vérification avant de consentir aux divers versements demandés. Il a ainsi prêté un total de CHF 24'147.21 sur la seule parole du mis en cause et de demandes par courriels, ne lui étant pas directement</w:t>
      </w:r>
    </w:p>
    <w:p>
      <w:r>
        <w:t>- 6/8 - P/277/2025 adressées, émanant d'une personne qu'il ne connaissait pas et supposément située à Séoul. Or, rien ne permet de considérer que la nature de son amitié avec le mis en cause le plaçait dans une situation d'une confiance absolue, au point de le dissuader de se renseigner sur la nature des opérations en cause. Pourtant, au regard des motifs invoqués par l'intéressé pour demander certaines sommes, il y avait matière à s'interroger. S'agissant des demandes de F______ que le mis en cause lui a transmis, leur teneur, rédigés dans un français très approximatif, leur contenu, aux explications sibyllines, ainsi que l'adresse électronique utilisée, générique et sans ancrage avec un quelconque établissement bancaire, étaient de nature à éveiller des soupçons. Des doutes qui auraient facilement pu être dissipés tant auprès du mis en cause que de la première concernée. Dans ces circonstances, il ne peut être retenu que le recourant aurait fait preuve du minimum de prudence que l'on pouvait attendre de lui avant de consentir au versement d'un tel montant. Partant, les éléments constitutifs de l'infraction d'escroquerie n'apparaissent pas réalisés. Il en va de même pour l'infraction d'abus de confiance. Comme exposé plus haut, l'argent prêté au mis en cause pour l'achat du bien immobilier à C______ a servi cette fin et rien ne permet de considérer que les "petites sommes" avancées pour aider ce dernier auraient été détournées dans un autre but. Pour le surplus, il n'est pas non plus établi que les sommes versées en 2024 n'auraient pas été utilisées comme annoncé par le mis en cause. Quoiqu'il en soit, elles ne sauraient pas être considérées comme des valeurs "confiées" au sens de l'art. 138 CP, à défaut d'avoir une affectation clairement prédéfinie et en l'absence d'une obligation, pour le mis en cause, de conserver la contre-valeur de l'argent reçu.</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intégralité à CHF 1'000.- (art. 428 al. 1 CPP et 13 al. 1 du Règlement fixant le tarif des frais en matière pénale, RTFMP; E 4 10.03). * * * * *</w:t>
      </w:r>
    </w:p>
    <w:p>
      <w:r>
        <w:t>- 7/8 - P/277/2025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