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ACPR/172/2020 vom 30. Dezember 2019</w:t>
      </w:r>
    </w:p>
    <w:p>
      <w:r>
        <w:t>GE Cour de justice, 2019-12-30, FR</w:t>
      </w:r>
    </w:p>
    <w:p>
      <w:r>
        <w:rPr>
          <w:b/>
        </w:rPr>
        <w:t xml:space="preserve">Quelle: </w:t>
      </w:r>
      <w:r>
        <w:t>https://mcp.opencaselaw.ch/entscheid/ge_gerichte_ACPR_172_2020</w:t>
      </w:r>
    </w:p>
    <w:p>
      <w:r>
        <w:t>FR: GE_GERICHTE ACPR/172/2020 du 30 décembre 2019</w:t>
      </w:r>
    </w:p>
    <w:p>
      <w:r>
        <w:t>IT: GE_GERICHTE ACPR/172/2020 del 30 dicembre 2019</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- 5/9 - P/13934/2019</w:t>
      </w:r>
    </w:p>
    <w:p>
      <w:r>
        <w:rPr>
          <w:b/>
        </w:rPr>
        <w:t>E. 3</w:t>
      </w:r>
    </w:p>
    <w:p>
      <w:r>
        <w:t>Le recourant se plaint d'une violation de son droit d'être entendu, dès lors qu'il n'a pas participé à l'administration des preuves avant que le Ministère public ne rende l'ordonnance querellée.</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3.2</w:t>
      </w:r>
    </w:p>
    <w:p>
      <w:r>
        <w:t>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3.3</w:t>
      </w:r>
    </w:p>
    <w:p>
      <w:r>
        <w:t>En l'espèce, l'audition du mis en cause a été effectuée dans le cadre des investigations policières, sans que le Ministère public n'ouvre une instruction. Dans ces circonstances, la procédure n'a pas dépassé la phase des premières investigations, ce qui permettait au Ministère public de rendre une ordonnance de non-entrée en matière et, partant, le dispensait d'interpeller ou entendre le recourant. Pour le surplus, le recourant a pu faire valoir devant la Chambre de céans les arguments qu'il estimait pertinents. Son droit d'être entendu a ainsi été pleinement respecté. Il s'ensuit que le grief doit être rejeté.</w:t>
      </w:r>
    </w:p>
    <w:p>
      <w:r>
        <w:rPr>
          <w:b/>
        </w:rPr>
        <w:t>E. 4</w:t>
      </w:r>
    </w:p>
    <w:p>
      <w:r>
        <w:t>Le recourant reproche au Ministère public de ne pas être entré en matière sur sa plainte du 30 avril 2019.</w:t>
      </w:r>
    </w:p>
    <w:p>
      <w:r>
        <w:t>- 6/9 - P/13934/2019</w:t>
      </w:r>
    </w:p>
    <w:p>
      <w:r>
        <w:rPr>
          <w:b/>
        </w:rPr>
        <w:t>E. 4.1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 Le principe "in dubio pro duriore" découle du principe de la légalité (art. 5 al. 1 Cst. et 2 al. 2 CPP en relation avec les art. 19 al. 1 et 324 CPP ; ATF 138 IV 86 consid.</w:t>
      </w:r>
    </w:p>
    <w:p>
      <w:r>
        <w:rPr>
          <w:b/>
        </w:rPr>
        <w:t>E. 4.2</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w:t>
      </w:r>
    </w:p>
    <w:p>
      <w:r>
        <w:t>- 7/9 - P/13934/2019 189 consid. 1.1 p. 191 et les références citées ; plus récemment arrêt du Tribunal fédéral 6B_1283/2018 du 14 février 2019 consid. 2.1).</w:t>
      </w:r>
    </w:p>
    <w:p>
      <w:r>
        <w:rPr>
          <w:b/>
        </w:rPr>
        <w:t>E. 4.3</w:t>
      </w:r>
    </w:p>
    <w:p>
      <w:r>
        <w:t>L'art. 140 CP réprime le comportement de celui qui aura commis un vol en usant de violence à l’égard d’une personne, en la menaçant d’un danger imminent pour la vie ou l’intégrité corporelle ou en la mettant hors d’état de résister. La peine est aggravée si la façon d'agir de l'auteur dénote qu'il est particulièrement dangereux (al. 3) ou s'il a traité la victime avec cruauté (al. 4).</w:t>
      </w:r>
    </w:p>
    <w:p>
      <w:r>
        <w:rPr>
          <w:b/>
        </w:rPr>
        <w:t>E. 4.4</w:t>
      </w:r>
    </w:p>
    <w:p>
      <w:r>
        <w:t>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Si une autre infraction, tel le brigandage, suppose le recours à une certaine contrainte, elle absorbe l'infraction réprimée par l'art. 183 CP, pour autant toutefois que l'atteinte qu'implique cette dernière infraction n'excède pas celle qui résulte de la première. Autrement dit, il n'y a absorption que si l'atteinte à la liberté qu'implique l'infraction réprimée par l'art. 183 CP ne va pas au-delà de celle qui est nécessaire à la commission de l'autre infraction (ATF 129 IV 61 consid. 2.1 p. 64 ; arrêts du Tribunal fédéral 6B_327/2015 du 16 décembre 2015 consid. 2.4.1 et 6B_1095/2009 du 24 septembre 2010 consid. 2.2 publié in SJ 2011 I 73).</w:t>
      </w:r>
    </w:p>
    <w:p>
      <w:r>
        <w:rPr>
          <w:b/>
        </w:rPr>
        <w:t>E. 4.5</w:t>
      </w:r>
    </w:p>
    <w:p>
      <w:r>
        <w:t>L'art. 180 al. 1 CP réprime le comportement de celui qui, par une menace grave, aura alarmé ou effrayé une personne.</w:t>
      </w:r>
    </w:p>
    <w:p>
      <w:r>
        <w:rPr>
          <w:b/>
        </w:rPr>
        <w:t>E. 4.6</w:t>
      </w:r>
    </w:p>
    <w:p>
      <w:r>
        <w:t>Se rend coupable d'injure celui qui aura, par la parole, l'écriture, l'image, le geste ou par des voies de fait, attaqué autrui dans son honneur (art. 177 al. 1 CP). Cette infraction est réprimée sur plainte (art. 31 CP).</w:t>
      </w:r>
    </w:p>
    <w:p>
      <w:r>
        <w:rPr>
          <w:b/>
        </w:rPr>
        <w:t>E. 4.7</w:t>
      </w:r>
    </w:p>
    <w:p>
      <w:r>
        <w:t>En l'espèce, s'il n'est pas contesté que le recourant a subi, à tout le moins, des lésions corporelles simples – qui sont attestées par certificat médical –, le mis en cause conteste toute implication dans les faits dénoncés. Ainsi, une confrontation entre les deux protagonistes ne parait pas susceptible d'apporter d'élément probant supplémentaire car chacun persisterait vraisemblablement dans sa propre version. L'audition de la mère du recourant n'a pas non plus apporté d'élément utile, celle-ci n'ayant pas distingué les occupants du véhicule. Ni le recourant ni sa mère n'ont par ailleurs pu renseigner les enquêteurs sur le numéro d'immatriculation de la voiture. Enfin, on peut se questionner sur le respect du délai de plainte de l'infraction d'injures, dénoncée uniquement dans le cadre du recours. En tout état, les preuves offertes à l'appui du recours ne sont pas pertinentes pour étayer les faits dénoncés. En effet, les messages produits ont été envoyés au mois de décembre 2018 et ne peuvent donc y être rattachés. De même, l'audition du témoin</w:t>
      </w:r>
    </w:p>
    <w:p>
      <w:r>
        <w:t>- 8/9 - P/13934/2019 proposée vise l'établissement de menaces, non datées, et ne se rapporte donc pas à la nuit des faits, mais apparemment à une période antérieure. Dans ces circonstances, on ne voit pas quelle autre mesure d'instruction permettrait de confondre les auteurs. Le recourant n'en dit mot, d'ailleurs.</w:t>
      </w:r>
    </w:p>
    <w:p>
      <w:r>
        <w:rPr>
          <w:b/>
        </w:rPr>
        <w:t>E. 5</w:t>
      </w:r>
    </w:p>
    <w:p>
      <w:r>
        <w:t>Justifiée, l'ordonnance querellée sera donc confirmée.</w:t>
      </w:r>
    </w:p>
    <w:p>
      <w:r>
        <w:rPr>
          <w:b/>
        </w:rPr>
        <w:t>E. 6</w:t>
      </w:r>
    </w:p>
    <w:p>
      <w:r>
        <w:t>Le recourant succombe dans ses conclusions. Il n'a donc pas droit à se voir nommer un avocat d'office. En revanche, compte tenu du préavis relatif à sa situation pécuniaire, il sera exonéré des frais envers l'État (art. 136 al. 2 let. b CPP). * * * * *</w:t>
      </w:r>
    </w:p>
    <w:p>
      <w:r>
        <w:t>- 9/9 - P/13934/2019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