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ACPR/171/2026 vom 17. Februar 2026</w:t>
      </w:r>
    </w:p>
    <w:p>
      <w:r>
        <w:t>GE Cour de justice, 2026-02-17, FR</w:t>
      </w:r>
    </w:p>
    <w:p>
      <w:r>
        <w:rPr>
          <w:b/>
        </w:rPr>
        <w:t xml:space="preserve">Quelle: </w:t>
      </w:r>
      <w:r>
        <w:t>https://mcp.opencaselaw.ch/entscheid/ge_gerichte_ACPR_171_2026</w:t>
      </w:r>
    </w:p>
    <w:p>
      <w:r>
        <w:t>FR: GE_GERICHTE ACPR/171/2026 du 17 février 2026</w:t>
      </w:r>
    </w:p>
    <w:p>
      <w:r>
        <w:t>IT: GE_GERICHTE ACPR/171/2026 del 17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en lien avec sa procédure de divorce. Il ne consacre aucun développement sur la somme d'argent qui lui aurait été réclamée par la mise en cause, de sorte qu'il n’y sera pas revenu (art. 385 al. 1 let. a CPP).</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- 4/7 - P/24406/2025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La non- 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w:t>
      </w:r>
    </w:p>
    <w:p>
      <w:r>
        <w:rPr>
          <w:b/>
        </w:rPr>
        <w:t>E. 3.2</w:t>
      </w:r>
    </w:p>
    <w:p>
      <w:r>
        <w:t>L'art. 306 CP réprime quiconque, étant partie dans un procès civil, donne sur les faits de la cause, après avoir été expressément invité par le juge à dire la vérité et rendu attentif aux suites pénales, une fausse déclaration constituant un moyen de preuve. La sanction pénale ne s'attache donc qu'au mensonge qui est proféré dans un interrogatoire qualifié. Il faut ainsi que la déclaration ne constitue pas un simple allégué d'une partie qui reste à prouver, mais qu'elle ait, sur la base de la loi de procédure applicable, la valeur d'un moyen de preuve, analogue à un témoignage (ATF 76 IV 278 consid. 2 = JdT 1950 IV 148; 72 IV 32 consid. 1 = JdT 1946 IV 154). La mise en demeure préalable par le juge est obligatoire, mais n'est liée à aucune forme (M. NIGGLI / H. WIPRÄCHTIGER, Basler Kommentar Strafrecht II : Art. 111-392 StGB, 3e éd., Bâle 2013, n. 14 ad art. 306).</w:t>
      </w:r>
    </w:p>
    <w:p>
      <w:r>
        <w:t>- 5/7 - P/24406/2025</w:t>
      </w:r>
    </w:p>
    <w:p>
      <w:r>
        <w:rPr>
          <w:b/>
        </w:rPr>
        <w:t>E. 3.3</w:t>
      </w:r>
    </w:p>
    <w:p>
      <w:r>
        <w:t>En l'espèce, la question du domicile du recourant au moment de la procédure de divorce et, par hypothèse, du caractère mensonger des indications fournies à ce propos par la mise en cause au tribunal civil dans le cadre de la procédure qu'elle a initiée, pourra rester ouverte. En effet, ces informations constituent au mieux un allégué de la mise en cause mais non une déclaration faite après invitation du juge à dire la vérité ni indication des suites pénales possibles. Dès lors, les éléments constitutifs objectifs de l'infraction de fausse déclaration d'une partie en justice ne sont pas réalisés. L' ATF 121 IV 131 consid. 2. cité par le recourant, rendu en matière de faux dans les titres, ne lui est d'aucune aide. Il en va de même de l'ATF 140 IV 11 consid. 2.4.2. rendu en matière d'escroquerie, l'hypothèse de l'escroquerie au procès ne se posant en l'espèce aucunement.</w:t>
      </w:r>
    </w:p>
    <w:p>
      <w:r>
        <w:rPr>
          <w:b/>
        </w:rPr>
        <w:t>E. 4</w:t>
      </w:r>
    </w:p>
    <w:p>
      <w:r>
        <w:t>Le caractère non pénal des faits dénoncés étant suffisamment établi, c'est à bon droit que les réquisitions de preuve sollicitées dans la plainte ont été rejetées par le Ministère public en tant qu'elles apparaissaient inutiles (art. 139 CPP).</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 lesquels seront prélevés sur les sûretés versées. * * * * *</w:t>
      </w:r>
    </w:p>
    <w:p>
      <w:r>
        <w:t>- 6/7 - P/24406/2025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