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ACPR/171/2024 vom 2. Februar 2024</w:t>
      </w:r>
    </w:p>
    <w:p>
      <w:r>
        <w:t>GE Cour de justice, 2024-02-02, FR</w:t>
      </w:r>
    </w:p>
    <w:p>
      <w:r>
        <w:rPr>
          <w:b/>
        </w:rPr>
        <w:t xml:space="preserve">Quelle: </w:t>
      </w:r>
      <w:r>
        <w:t>https://mcp.opencaselaw.ch/entscheid/ge_gerichte_ACPR_171_2024</w:t>
      </w:r>
    </w:p>
    <w:p>
      <w:r>
        <w:t>FR: GE_GERICHTE ACPR/171/2024 du 2 février 2024</w:t>
      </w:r>
    </w:p>
    <w:p>
      <w:r>
        <w:t>IT: GE_GERICHTE ACPR/171/2024 del 2 febbraio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fait valoir l'absence de charges suffisantes pour justifier la prolongation de sa détention provisoire.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la recourante perd de vue qu'il n'appartient pas au juge de la détention d'examiner en détail l'ensemble des faits, pas plus que de procéder à une appréciation complète des éléments à charge et à décharge, étant rappelé que selon la jurisprudence précitée, c'est au juge du fond, et non à celui de la détention, qu'il incombera, cas échéant, d'apprécier la culpabilité de la recourante, ainsi que la valeur probante des différentes déclarations et témoignages. La Chambre de céans a déjà retenu l'existence de charges suffisantes, au sens de l'art. 221 al. 1 CPP, contre la recourante, s'agissant de l'exploitation de plusieurs mendiants, de concert avec son défunt mari ou son fils C______. Ces charges ont été confirmées par le Tribunal fédéral, dans son arrêt du 11 janvier 2024, avec la réserve que les faits concrètement reprochés devaient être précisés à la suite des derniers actes d'enquête, ce qu'a fait le Ministère public le 22 février 2024 après avoir confronté la recourante aux témoignages recueillis en Bulgarie. Dans la décision attaquée, le premier juge a passé méthodiquement en revue les éléments de fait – y compris les auditions recueillies en Bulgarie – démontrant que, même si certaines déclarations [celles de G______ et H______] sont favorables à la recourante, l'ensemble des charges pesant contre elle restent suffisantes pour justifier son maintien en détention provisoire.</w:t>
      </w:r>
    </w:p>
    <w:p>
      <w:r>
        <w:t>- 8/12 - P/16205/2021 Il peut ainsi y être renvoyé sans autre analyse (ATF 123 I 31 consid. 2c p. 34; arrêt du Tribunal fédéral 1B_378/2019 du 19 août 2019 consid. 2 et les références). Il est vrai que le Tribunal fédéral soulève l'éventuelle application de la complicité, sans autre précision. Ce grief n'a toutefois pas à être abordé plus en détail par le juge de la détention. Il faut, mais il suffit, que des charges précises et concordantes d'un crime ou d'un délit soient réunies. Tel est le cas, en l'occurrence. À vrai dire, la recourante se livre à une relecture et à une interprétation personnelle du dossier comme si elle s'exprimait devant une autorité de jugement, attendant, mais à tort, de l'autorité de recours qu'elle empiète sur la compétence du juge du fond. Le grief d'insuffisance des charges sera donc rejeté.</w:t>
      </w:r>
    </w:p>
    <w:p>
      <w:r>
        <w:rPr>
          <w:b/>
        </w:rPr>
        <w:t>E. 3</w:t>
      </w:r>
    </w:p>
    <w:p>
      <w:r>
        <w:t>L'existence d'un risque de fuite a déjà été retenu par la Chambre de céans (cf. ACPR/926/2023 susmentionné), tout comme l'absence de mesure de substitution de nature à le pallier, de sorte qu'il peut être renvoyé à la précédente motivation faute d'élément nouveau intervenu depuis lors (ATF 114 Ia 281 consid. 4c p. 285 ; 103 Ia 407 consid. 3a p. 409 s.; arrêts 1B_149/2010 du 1er juin 2010 consid. 1.3 ; 1B_22/2009 du 16 février 2009 consid. 2.1). L'admission de ce risque dispense d'examiner ce qu'il en serait des risques de collusion et de réitération.</w:t>
      </w:r>
    </w:p>
    <w:p>
      <w:r>
        <w:rPr>
          <w:b/>
        </w:rPr>
        <w:t>E. 4</w:t>
      </w:r>
    </w:p>
    <w:p>
      <w:r>
        <w:t>et 5).</w:t>
      </w:r>
    </w:p>
    <w:p>
      <w:r>
        <w:rPr>
          <w:b/>
        </w:rPr>
        <w:t>E. 4.1</w:t>
      </w:r>
    </w:p>
    <w:p>
      <w:r>
        <w:t>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w:t>
      </w:r>
    </w:p>
    <w:p>
      <w:r>
        <w:t>- 9/12 - P/16205/2021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w:t>
      </w:r>
    </w:p>
    <w:p>
      <w:r>
        <w:rPr>
          <w:b/>
        </w:rPr>
        <w:t>E. 4.2</w:t>
      </w:r>
    </w:p>
    <w:p>
      <w:r>
        <w:t>En l'occurrence, aucun retard injustifié ni manquement ne saurait être reproché au Ministère public, l'instruction de la cause se déroulant à un rythme soutenu depuis l'arrestation de la recourante, compte tenu de la demande d'entraide adressée à la Bulgarie. Le fait que le Ministère public a précisé les faits reprochés lors de son audience du 22 février 2024, et non pas dans sa demande de prolongation de la détention provisoire, ne viole au demeurant pas le principe de la célérité. On devrait ensuite pouvoir escompter que le Ministère public décide rapidement de la suite à donner à la présente procédure. Les principes jurisprudentiels sus-rappelés étant respectés, le grief de la recourante est infondé.</w:t>
      </w:r>
    </w:p>
    <w:p>
      <w:r>
        <w:rPr>
          <w:b/>
        </w:rPr>
        <w:t>E. 5</w:t>
      </w:r>
    </w:p>
    <w:p>
      <w:r>
        <w:t>La recourante considère que la prolongation de la détention provisoire, pour trois mois, est excessive.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5.2</w:t>
      </w:r>
    </w:p>
    <w:p>
      <w:r>
        <w:t>En l'occurrence, la durée de la détention subie à ce jour, augmentée de la prolongation querellée, n'atteint pas la peine à laquelle la recourante pourrait être condamnée si elle était reconnue coupable de toutes les préventions retenues contre elle, étant souligné que les infractions en cause sont passibles de peines privatives de liberté et que la question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t>- 10/12 - P/16205/2021</w:t>
      </w:r>
    </w:p>
    <w:p>
      <w:r>
        <w:t>La prolongation de la détention provisoire, pour une durée de trois mois, est nécessaire au Ministère public pour procéder aux derniers actes d'enquête annoncés, décider de la suite à donner à la procédure, voire pour la clôturer par le renvoi en jugement de la recourante. Il s'ensuit que la prolongation ordonnée ne viole pas le principe de la proportionnalité.</w:t>
      </w:r>
    </w:p>
    <w:p>
      <w:r>
        <w:rPr>
          <w:b/>
        </w:rPr>
        <w:t>E. 6</w:t>
      </w:r>
    </w:p>
    <w:p>
      <w:r>
        <w:t>Le recours s'avère infondé et doit être rejeté.</w:t>
      </w:r>
    </w:p>
    <w:p>
      <w:r>
        <w:rPr>
          <w:b/>
        </w:rPr>
        <w:t>E. 7</w:t>
      </w:r>
    </w:p>
    <w:p>
      <w:r>
        <w:t>La recourante, qui succombe, supportera les frais envers l'État, fixés en totalité à CHF 900.- (art. 428 al. 1 CPP et 13 al. 1 du Règlement fixant le tarif des frais en matière pénale, RTFMP; E 4 10.03). * * * * *</w:t>
      </w:r>
    </w:p>
    <w:p>
      <w:r>
        <w:t>- 11/12 - P/16205/2021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