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ACPR/16/2020 vom 20. Dezember 2019</w:t>
      </w:r>
    </w:p>
    <w:p>
      <w:r>
        <w:t>GE Cour de justice, 2019-12-20, FR</w:t>
      </w:r>
    </w:p>
    <w:p>
      <w:r>
        <w:rPr>
          <w:b/>
        </w:rPr>
        <w:t xml:space="preserve">Quelle: </w:t>
      </w:r>
      <w:r>
        <w:t>https://mcp.opencaselaw.ch/entscheid/ge_gerichte_ACPR_16_2020</w:t>
      </w:r>
    </w:p>
    <w:p>
      <w:r>
        <w:t>FR: GE_GERICHTE ACPR/16/2020 du 20 décembre 2019</w:t>
      </w:r>
    </w:p>
    <w:p>
      <w:r>
        <w:t>IT: GE_GERICHTE ACPR/16/2020 del 20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plus en cause, dans son recours, l'existence de charges suffisantes et graves, au sens de l'art. 221 al. 1 première phrase CPP, pour la commission d'un brigandage. À juste titre, au vu des éléments au dossier, en particulier ses liens avec l'auteur du brigandage, avec lequel il s'était rendu à Genève, ses contacts téléphoniques avec lui quelques minutes avant le passage à l'acte, sa présence à quelques mètres du forfait pendant tout le déroulement des faits, ainsi que sa rencontre, juste après, avec celui qu'il désigne comme étant à l'origine de la proposition, avec lequel il a été téléphoniquement en contact une trentaine de fois ce jour-là.</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l'instruction n'est pas terminée, les données du téléphone de E______ devant encore être analysées. En l'état, les rôles joués par le recourant et E______ ne sont pas établis, les versions des co-prévenus n'étant pas concordantes. Le recourant estime n'avoir rien à voir avec le brigandage perpétré par D______, alors que les éléments au dossier paraissent l'impliquer tant dans la prise de décision que le déroulement des faits. Celui qu'il désigne comme étant l'organisateur,</w:t>
      </w:r>
    </w:p>
    <w:p>
      <w:r>
        <w:t>- 7/11 - P/19807/2019 E______, nie tout lien avec les faits. D______, quant à lui, le met hors de cause pour la fourniture des effets destinés à la commission du brigandage, notamment le spray au poivre, mais refuse de donner le nom de la personne qui les lui aurait remis. Le sac en plastique violet porté par le recourant au moment du brigandage et juste après – mais pas dans le train qui l'a ramené à H______ (VD) –, est à cet égard troublant, puisqu'il aurait précisément pu servir à contenir les objets et effets destinés au brigandage, puis à cacher ceux-ci après le forfait. Le risque de collusion demeure dès lors, en l'état, très important, le recourant pouvant être tenté, s'il venait à être libéré, de faire pression auprès des proches – dont les coordonnées figurent au dossier – des deux co-prévenus pour qu'ils intercèdent auprès de ceux-ci, lors de parloirs, afin qu'ils maintiennent, ou au contraire modifient, leur version à son profit. En outre, si l'on retient la version de D______, selon laquelle un tiers non identifié lui aurait remis les objets et effets destinés au brigandage, il existe un risque important que le recourant ne contacte cette personne pour influencer ses futures déclarations.</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l'espèce, le recourant est né en Suisse, où il a toujours vécu. Âgé de 21 ans, il n'a pas de formation. Il dit vouloir exercer dans le domaine éducatif et de l'enfance, sans toutefois être inscrit dans un cursus d'études. Il allègue avoir été formé bénévolement, par un proche, comme vendeur de voitures et la promesse d'engagement de I______ Sàrl atteste qu'il y a effectué un stage d'un mois. Aucun salaire n'est toutefois prévu par la promesse d'emploi de cette société. Il s'ensuit que le recourant ne semble, depuis l'âge de 15 ans, pas avoir entamé de formation suivie. La promesse de travail, qui n'apparaît guère sérieuse, ne constitue pas un ancrage suffisant en Suisse. Le risque est dès lors grand que, au vu de la peine menace et concrètement encourue – compte tenu d'un antécédent judiciaire récent – pour sa participation à un brigandage qu'il conteste, et pour éviter d'affronter le procès et l'éventuelle condamnation dans une procédure pénale dont il commence à prendre la mesure, le recourant ne décide de partir au Maroc, pays dont il est ressortissant, dans</w:t>
      </w:r>
    </w:p>
    <w:p>
      <w:r>
        <w:t>- 8/11 - P/19807/2019 lequel il a de la famille proche, où il se rendait jusqu'ici chaque été et dont il ne serait, cas échéant, pas extradable. À cet égard, s'il est constant que sa mère est établie à H______ (VD), le titre de séjour produit par son père à l'appui de sa demande d'autorisation de visite, en novembre 2019, est échu depuis 2014 (cf. onglet "pièces de forme"), de sorte que l'on peut raisonnablement s'interroger sur le lieu réel du domicile paternel. Au vu de ce qui précède, en retenant un risque de fuite concret, l'ordonnance querellée n'a pas violé l'art. 8 Cst.</w:t>
      </w:r>
    </w:p>
    <w:p>
      <w:r>
        <w:rPr>
          <w:b/>
        </w:rPr>
        <w:t>E. 5</w:t>
      </w:r>
    </w:p>
    <w:p>
      <w:r>
        <w:t>Le recourant demande le prononcé de mesures de substitution.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l'état, aucune mesure de substitution n'apparaît apte à pallier le risque de collusion. Une interdiction de contact avec les personnes autorisées à rendre visite aux co-prévenus serait trop imprécise et ne reposerait que sur la seule volonté du recourant, laquelle ne constitue pas une garantie suffisante au regard de l'intérêt que le précité aurait à influencer les déclarations des autres protagonistes pour accréditer sa version. Point n'est dès lors besoin d'examiner les propositions de mesures destinées à pallier le risque de fuite.</w:t>
      </w:r>
    </w:p>
    <w:p>
      <w:r>
        <w:rPr>
          <w:b/>
        </w:rPr>
        <w:t>E. 6</w:t>
      </w:r>
    </w:p>
    <w:p>
      <w:r>
        <w:t>La détention provisoire ordonnée au total pour six mois – jusqu'au 20 mars 2020 –, ne viole pas le principe de la proportionnalité (art. 197 al. 1 et 212 al. 3 CPP), au vu de la peine concrètement encourue si les faits reprochés au recourant venaient à être confirmés.</w:t>
      </w:r>
    </w:p>
    <w:p>
      <w:r>
        <w:rPr>
          <w:b/>
        </w:rPr>
        <w:t>E. 7</w:t>
      </w:r>
    </w:p>
    <w:p>
      <w:r>
        <w:t>Le recours s'avère ainsi infondé et doit être rejeté.</w:t>
      </w:r>
    </w:p>
    <w:p>
      <w:r>
        <w:t>- 9/11 - P/19807/2019</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- 10/11 - P/19807/2019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