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ACPR/168/2026 vom 18. Februar 2026</w:t>
      </w:r>
    </w:p>
    <w:p>
      <w:r>
        <w:t>GE Cour de justice, 2026-02-18, FR</w:t>
      </w:r>
    </w:p>
    <w:p>
      <w:r>
        <w:rPr>
          <w:b/>
        </w:rPr>
        <w:t xml:space="preserve">Quelle: </w:t>
      </w:r>
      <w:r>
        <w:t>https://mcp.opencaselaw.ch/entscheid/ge_gerichte_ACPR_168_2026</w:t>
      </w:r>
    </w:p>
    <w:p>
      <w:r>
        <w:t>FR: GE_GERICHTE ACPR/168/2026 du 18 février 2026</w:t>
      </w:r>
    </w:p>
    <w:p>
      <w:r>
        <w:t>IT: GE_GERICHTE ACPR/168/2026 del 18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s'oppose à l'établissement de son profil d'ADN.</w:t>
      </w:r>
    </w:p>
    <w:p>
      <w:r>
        <w:rPr>
          <w:b/>
        </w:rPr>
        <w:t>E. 3.1</w:t>
      </w:r>
    </w:p>
    <w:p>
      <w:r>
        <w:t>L'établissement d'un profil d'ADN est de nature à porter atteinte au droit à la liberté personnelle (art. 10 al. 2 Cst.) et à la protection contre l'emploi abusif de données privées (art. 13 al. 2 Cst. et 8 CEDH). Cette mesure doit, en conséquence, se fonder sur une base légale, être justifiée par un intérêt public et être proportionnée au but visé (ATF 147 I 372 consid. 2.3.3 ; arrêt du Tribunal fédéral 1B_631/2022 du 14 février 2023 consid. 2).</w:t>
      </w:r>
    </w:p>
    <w:p>
      <w:r>
        <w:t>- 5/9 - P/1360/2026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arrêt du Tribunal fédéral 1B_259/2022 du 23 juin 2023 consid. 4.3).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arrêt du Tribunal fédéral 1B_259/2022 précité consid. 4.3).</w:t>
      </w:r>
    </w:p>
    <w:p>
      <w:r>
        <w:rPr>
          <w:b/>
        </w:rPr>
        <w:t>E. 3.4</w:t>
      </w:r>
    </w:p>
    <w:p>
      <w:r>
        <w:t>Selon l'art. 353 al. 1 let. fbis CPP, l’ordonnance pénale contient le délai d’effacement d’un profil d’ADN éventuellement existant.</w:t>
      </w:r>
    </w:p>
    <w:p>
      <w:r>
        <w:rPr>
          <w:b/>
        </w:rPr>
        <w:t>E. 3.5</w:t>
      </w:r>
    </w:p>
    <w:p>
      <w:r>
        <w:t>En l'espèce, l'établissement du profil d'ADN du recourant a été ordonné pour élucider, non pas les infractions en cours d'instruction, mais d'autres actes contraires à la LStup, dès lors que le recourant a déjà été soupçonné pour des faits similaires. À cet égard, il existe des indices sérieux et concrets de la commission, par le recourant, de tels actes punissables. Le recourant a été interpellé par la police le 17 janvier 2026 en fin de matinée dans une allée d'immeuble à la rue 2______, alors qu'il était soupçonné de s'adonner à un trafic de cocaïne. Il ressort du rapport d'arrestation que la police avait vu à côté de lui plusieurs boulettes de cocaïne qu'il avait avalées à leur vue. S'y ajoute qu'il avait deux sachets de poudre blanche, probablement du produit de coupage, dans l'une de ses chaussettes, outre qu'il détenait CHF 75.- et EUR 80.- en diverses coupures, alors même qu'il ne dispose d'aucun revenu régulier avéré. Ses explications quant à la raison de sa présence dans cette cage d'escaliers sont peu convaincantes en tant qu'il indique qu'il dormait ou se reposait et aurait été réveillé par la police alors qu'il mangeait des bonbons.</w:t>
      </w:r>
    </w:p>
    <w:p>
      <w:r>
        <w:t>- 6/9 - P/1360/2026 De plus, depuis 2017, il a été condamné à sept reprises pour des délits à la LStup, en dernier lieu le 24 avril 2023, soit des agissements qui dépassent le stade de la simple consommation personnelle. Ces condamnations à la LStup vont de pair avec des condamnations répétées pour séjours illégaux (art. 115 LEI) et violations d'interdiction de périmètre (art. 119 LEI). Ces nombreux antécédents, auxquels s'ajoutent le contexte de l'interpellation du recourant faisant apparaître des indices concrets et sérieux qu'il se livrait le 17 janvier 2026 à un trafic de cocaïne et une situation personnelle précaire, laissent très sérieusement craindre un ancrage dans la délinquance liée aux stupéfiants. De telles circonstances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Cette situation n'est pas comparable à celle que le Tribunal fédéral a été amené à trancher récemment (arrêt 7B_529/2025 du 26 janvier 2026) pour plusieurs raisons. Dans l'affaire en question, l'intéressé n'avait aucune condamnation pour infraction à l'art. 19 al. 1 LStup inscrite à son casier judiciaire, au contraire du recourant. Selon le Tribunal fédéral, son interpellation dans un haut-lieu du trafic de drogue à Genève ne suffisait pas à considérer qu'il s'adonnerait à une activité régulière en matière de stupéfiants. De plus, la Chambre de céans n'avait pas fait mention dans sa motivation du fait que l'intéressé disposait de CHF 140.- en petites coupures lors d'une première interpellation. Or, cette somme n'était pas suffisamment importante, sans aucune explication plausible à ce sujet, pour considérer son origine comme douteuse et à plus forte raison qu'elle proviendrait d'un trafic de stupéfiants (consid. 3.4.1 et 3.4.3). En l'espèce, il s’agit certes de l'équivalent de quelque CHF 150.- dont le recourant était en possession, mais, comme déjà relevé, en diverses coupures et alors que la police a observé ce qu'elle a estimé être des boulettes contenant de la cocaïne, à côté de lui, et qu'il était encore en possession, dans l'une de ses chaussettes, de sachets de poudre blanche. En outre, les infractions à la LStup susceptibles d'être élucidées revêtent une certaine gravité. Il s'agit d'ailleurs d'un des cas expressément listés par la Directive A.5 du Procureur général (cf. n. 4.3), qui, bien que n'ayant pas force de loi, est fondée sur l'art. 255 al. 1bis CPP, lequel permet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que dans la mesure où les profils d'ADN sont soumis à effacement après un certain délai (art. 16 LADN), il existe un intérêt public prépondérant – quand bien même l'établissement du profil d'ADN aurait déjà été ordonné à une ou plusieurs reprises et son effacement n'interviendrait pas avant de nombreuses années –, à soumettre derechef le prévenu à cette mesure, pour</w:t>
      </w:r>
    </w:p>
    <w:p>
      <w:r>
        <w:t>- 7/9 - P/1360/2026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Le recourant indique également que l'établissement de ce nouveau profil d'ADN entraînera des frais inutiles. Or, que ce coût soit éventuellement mis à sa charge ultérieurement – ce qui n'est pas évident à ce stade, dès lors que cette question ne se posera qu'à l'issue de la procédure et à la condition que l'intéressé soit condamné définitivement – n'est pas pertinent à ce stade. Pour le surplus, le recourant ne saurait se soustraire à la mesure au prétexte que les frais pourraient incomber au contribuable genevois. L'argument portant sur une éventuelle violation de l'art. 353 al. 1 let. fbis CPP tombe à faux, dans la mesure où il concerne l'ordonnance pénale du 18 janvier 2026, soit une autre décision que celle relative au présent recours, et contre laquelle le recourant a d'ailleurs fait opposition. Il s'ensuit que l'ordonnance querellée ne prête pas le flanc à la critique, les réquisits pour le prononcé de l'établissement du profil d'ADN du recourant étant réunis.</w:t>
      </w:r>
    </w:p>
    <w:p>
      <w:r>
        <w:rPr>
          <w:b/>
        </w:rPr>
        <w:t>E. 4</w:t>
      </w:r>
    </w:p>
    <w:p>
      <w:r>
        <w:t>Justifiée, l'ordonnance querellée sera donc confirmée.</w:t>
      </w:r>
    </w:p>
    <w:p>
      <w:r>
        <w:rPr>
          <w:b/>
        </w:rPr>
        <w:t>E. 5</w:t>
      </w:r>
    </w:p>
    <w:p>
      <w:r>
        <w:t>Le recourant, qui succombe, supportera les frais envers l'État, fixés en totalité à CHF 600.- (art. 428 al. 1 CPP et 13 al. 1 du Règlement fixant le tarif des frais en matière pénale, RTFMP ; E 4 10.03). * * * * *</w:t>
      </w:r>
    </w:p>
    <w:p>
      <w:r>
        <w:t>- 8/9 - P/1360/2026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