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ACPR/168/2019 vom 21. August 2018</w:t>
      </w:r>
    </w:p>
    <w:p>
      <w:r>
        <w:t>GE Cour de justice, 2018-08-21, FR</w:t>
      </w:r>
    </w:p>
    <w:p>
      <w:r>
        <w:rPr>
          <w:b/>
        </w:rPr>
        <w:t xml:space="preserve">Quelle: </w:t>
      </w:r>
      <w:r>
        <w:t>https://mcp.opencaselaw.ch/entscheid/ge_gerichte_ACPR_168_2019</w:t>
      </w:r>
    </w:p>
    <w:p>
      <w:r>
        <w:t>FR: GE_GERICHTE ACPR/168/2019 du 21 août 2018</w:t>
      </w:r>
    </w:p>
    <w:p>
      <w:r>
        <w:t>IT: GE_GERICHTE ACPR/168/2019 del 21 agosto 2018</w:t>
      </w:r>
    </w:p>
    <w:p>
      <w:pPr>
        <w:pStyle w:val="Heading2"/>
      </w:pPr>
      <w:r>
        <w:t>Erwägungen</w:t>
      </w:r>
    </w:p>
    <w:p>
      <w:r>
        <w:rPr>
          <w:b/>
        </w:rPr>
        <w:t>E. 1</w:t>
      </w:r>
    </w:p>
    <w:p>
      <w:r>
        <w:t>Le recours est recevable pour avoir été déposé selon la forme et dans le délai prescrits – moins de dix jours après le prononcé de la décision litigieuse –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de ne pas être entré en matière sur les faits dénoncés dans sa plainte pénale.</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Selon la jurisprudence, cette disposition doit être appliquée conformément au principe in dubio pro duriore (arrêts du Tribunal fédéral 6B_271/2016 du 22 août 2016 consid. 2.1; 6B_127/2013 du 3 septembre 2013 consid. 4.1), tel qu'il découle du principe de la légalité (art. 5 Cst., 2 CPP et 7 CPP, en lien avec les art. 319 al. 1 et 324 al. 1 CPP; ATF 138 IV 86 consid. 4.2 p. 91), qui signifie que le Ministère public ne peut rendre une ordonnance de non-entrée en matière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w:t>
      </w:r>
    </w:p>
    <w:p>
      <w:r>
        <w:t>- 4/6 - P/11493/2018 86 consid. 4.1.2 p. 91; 137 IV 285 consid. 2.5 p. 288; arrêt du Tribunal fédéral 1B_112/2012 du 6 décembre 2012).</w:t>
      </w:r>
    </w:p>
    <w:p>
      <w:r>
        <w:rPr>
          <w:b/>
        </w:rPr>
        <w:t>E. 3.2</w:t>
      </w:r>
    </w:p>
    <w:p>
      <w:r>
        <w:t>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ATF 128 IV 53 consid. 1a p. 58). Il faut donc que l'atteinte fasse apparaître la personne visée comme méprisable, qu'il s'agisse d'un être humain ou d'une entité juridique (ATF 114 IV 14 consid. 2a p. 15 et les références).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 ATF 128 IV 53 consid. 1a p. 57 s. et les références ; arrêt du Tribunal fédéral 6B_441/2016 du 29 mars 2017 consid. 4.1).</w:t>
      </w:r>
    </w:p>
    <w:p>
      <w:r>
        <w:rPr>
          <w:b/>
        </w:rPr>
        <w:t>E. 3.3</w:t>
      </w:r>
    </w:p>
    <w:p>
      <w:r>
        <w:t>En l'espèce, le recourant tient pour diffamatoire et calomnieux les propos du mis en cause à teneur desquels le concierge lui aurait confié avoir peur de lui, en raison de son comportement, le mis en cause ajoutant que le recourant aurait déjà eu "ce comportement" dans le précédent immeuble qu'il avait occupé. Que ces propos soient ou non le reflet de la réalité, force est de constater qu'ils ne sont pas de nature à ternir la réputation du recourant au point de le faire apparaître comme une personne méprisable. Dans la mesure où ces propos ne portent pas atteinte à l'honneur du recourant, il n'existe pas de prévention pénale suffisante d'une infraction aux art. 173ss CP. Le recours est donc rejeté.</w:t>
      </w:r>
    </w:p>
    <w:p>
      <w:r>
        <w:rPr>
          <w:b/>
        </w:rPr>
        <w:t>E. 4</w:t>
      </w:r>
    </w:p>
    <w:p>
      <w:r>
        <w:t>Le recourant, qui succombe, supportera les frais envers l'État, qui seront fixés en totalité à CHF 500.- (art. 428 al. 1 CPP et 13 al. 1 du Règlement fixant le tarif des frais en matière pénale, RTFMP ; E 4 10.03) pour tenir compte de sa situation financière. * * * * *</w:t>
      </w:r>
    </w:p>
    <w:p>
      <w:r>
        <w:t>- 5/6 - P/11493/2018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