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ACPR/166/2022 vom 19. November 2013</w:t>
      </w:r>
    </w:p>
    <w:p>
      <w:r>
        <w:t>GE Cour de justice, 2013-11-19, FR</w:t>
      </w:r>
    </w:p>
    <w:p>
      <w:r>
        <w:rPr>
          <w:b/>
        </w:rPr>
        <w:t xml:space="preserve">Quelle: </w:t>
      </w:r>
      <w:r>
        <w:t>https://mcp.opencaselaw.ch/entscheid/ge_gerichte_ACPR_166_2022</w:t>
      </w:r>
    </w:p>
    <w:p>
      <w:r>
        <w:t>FR: GE_GERICHTE ACPR/166/2022 du 19 novembre 2013</w:t>
      </w:r>
    </w:p>
    <w:p>
      <w:r>
        <w:t>IT: GE_GERICHTE ACPR/166/2022 del 19 novembre 2013</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reproche à l'autorité précédente d'avoir prolongé son traitement ambulatoire.</w:t>
      </w:r>
    </w:p>
    <w:p>
      <w:r>
        <w:rPr>
          <w:b/>
        </w:rPr>
        <w:t>E. 2.1</w:t>
      </w:r>
    </w:p>
    <w:p>
      <w:r>
        <w:t>En vertu de l'art. 63 CP, lorsque l’auteur souffre d’un grave trouble mental, est toxico-dépendant ou qu’il souffre d’une autre addiction, le juge peut ordonner un traitement ambulatoire au lieu d’un traitement institutionnel, lorsque l'auteur a commis un acte punissable en relation avec cet état (let. a) et qu'il est à prévoir que le traitement le détournera de nouvelles infractions en relation avec ledit état (let. b).</w:t>
      </w:r>
    </w:p>
    <w:p>
      <w:r>
        <w:t>- 8/11 - PM/1009/2021 À teneur de l'al. 4 de cet article,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(arrêt du Tribunal fédéral 6B_39/2018 du 5 juillet 2018 consid. 1.1.).</w:t>
      </w:r>
    </w:p>
    <w:p>
      <w:r>
        <w:rPr>
          <w:b/>
        </w:rPr>
        <w:t>E. 2.2</w:t>
      </w:r>
    </w:p>
    <w:p>
      <w:r>
        <w:t>Dans certains cas, des auteurs souffrant de graves troubles mentaux, notamment des délinquants sexuels, peuvent avoir besoin d’une prise en charge plus longue (L. MOREILLON / A. MACALUSO / N. QUELOZ / N. DONGOIS (éds), Commentaire romand, Code pénal I, art. 1-110 CP, Bâle 2021, 2ème ed, n. 31 ad art. 63) La mesure peut être reconduite aussi souvent et aussi longtemps que son maintien s'avère nécessaire, approprié et proportionnel (ATF 135 IV 139 consid. 2.1). Dans ce cadre, elle ne connaît pas de limite maximale. Cette possibilité existe parce que les mesures thérapeutiques appliquées à des malades mentaux chroniques n'agissent souvent que très lentement (ATF 134 IV 315 consid. 3.4.1; ACPR/192/2014 du 11 février 2014 consid. 3.1). Théoriquement, la prolongation du traitement ambulatoire des auteurs souffrant de troubles mentaux n’est pas limitée dans le temps et dépend du besoin de prise en charge de l’auteur tout comme des perspectives de réussite de la mesure. La mesure peut ainsi être prolongée tant qu’elle n’est pas levée parce qu’elle avait atteint son but ou parce que cet objectif apparaît exclu. Toutefois, la prolongation consiste en une exception et doit respecter le principe de proportionnalité de l'art. 56 al. 2 CP. En outre, plus le traitement dure, plus l’argumentation du juge devra être convaincante. De ce fait, la prolongation concerne, en pratique, surtout des auteurs présentant un risque non négligeable de porter atteinte à des biens juridiques importants (L. MOREILLON / A. MACALUSO / N. QUELOZ / N. DONGOIS (éds), Commentaire romand, Code pénal, op. cit., n. 33 ad art. 63).</w:t>
      </w:r>
    </w:p>
    <w:p>
      <w:r>
        <w:rPr>
          <w:b/>
        </w:rPr>
        <w:t>E. 2.3</w:t>
      </w:r>
    </w:p>
    <w:p>
      <w:r>
        <w:t>Lors de l'examen du risque de récidive, il convient, en vertu du principe de la proportionnalité, de tenir compte de l'imminence et de la gravité du danger, ainsi que de la nature et de l'importance du bien juridique menacé (ATF 137 IV 201 consid. 1.2).</w:t>
      </w:r>
    </w:p>
    <w:p>
      <w:r>
        <w:rPr>
          <w:b/>
        </w:rPr>
        <w:t>E. 2.4</w:t>
      </w:r>
    </w:p>
    <w:p>
      <w:r>
        <w:t>L'art. 63a CP stipule que l'autorité compétente vérifie au moins une fois par an s’il y a lieu de poursuivre le traitement ambulatoire ou de l'arrêter. Au préalable, elle entend l'auteur et demande un rapport à la personne chargée du traitement (al. 1).</w:t>
      </w:r>
    </w:p>
    <w:p>
      <w:r>
        <w:t>- 9/11 - PM/1009/2021 Elle ordonne l’arrêt du traitement ambulatoire : lorsque celui-ci s’est achevé avec succès (al. 2 let. a); si sa poursuite paraît vouée à l’échec  (al. 2 let. b); à l’expiration de la durée légale maximale du traitement des personnes dépendantes de l’alcool, de stupéfiants ou de médicaments  (al. 2 let. c).</w:t>
      </w:r>
    </w:p>
    <w:p>
      <w:r>
        <w:rPr>
          <w:b/>
        </w:rPr>
        <w:t>E. 2.5</w:t>
      </w:r>
    </w:p>
    <w:p>
      <w:r>
        <w:t>Toute sanction pénale qui restreint un droit fondamental doit respecter le principe de la proportionnalité (art. 36 al. 3 Cst.). En matière de mesure, ce principe a été concrétisé à l'art. 56 CP. Aux termes de cette disposition,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précité, 6B_826/2013 du 12 décembre 2013 consid. 2.8.1 et 6B_1167/2014 du 26 août 2015 consid. 3.1).</w:t>
      </w:r>
    </w:p>
    <w:p>
      <w:r>
        <w:rPr>
          <w:b/>
        </w:rPr>
        <w:t>E. 2.6</w:t>
      </w:r>
    </w:p>
    <w:p>
      <w:r>
        <w:t>En l'espèce, le recourant estime que la mesure de traitement thérapeutique n'est plus proportionnée, le risque de récidive n'étant ni établi ni même actuel.</w:t>
      </w:r>
    </w:p>
    <w:p>
      <w:r>
        <w:t>À teneur du rapport d'expertise psychiatrique de 2013, le recourant, qui souffre de schizophrénie paranoïde et de troubles mentaux et du comportement liés à l'utilisation d'alcool, peut, lors des périodes de décompensation psychotique aiguë, perdre complètement le contact avec la réalité et avoir un comportement imprévisible; la probabilité d'un passage à l'acte hétéro-agressif étant augmentée. Pour diminuer ce risque, le recourant devait suivre un traitement psychiatrique- psychothérapeutique intégré, outre une abstinence complète aux toxiques.</w:t>
      </w:r>
    </w:p>
    <w:p>
      <w:r>
        <w:t>- 10/11 - PM/1009/2021</w:t>
      </w:r>
    </w:p>
    <w:p>
      <w:r>
        <w:t>Si, depuis la mise en place du traitement, aucune infraction ou comportement hétéro-agressif n'ont été rapportés, on pourrait supposer que ce résultat est dû au traitement Risperdal auquel le recourant se conforme. Néanmoins, au vu du dossier, on constate que le recourant n'est pas abstinent à l'alcool et est toujours sujet à des hallucinations auditives voire visuelles.</w:t>
      </w:r>
    </w:p>
    <w:p>
      <w:r>
        <w:t>Les faits à l'origine de la mesure thérapeutique avaient notamment consisté en une menace d'un policier avec un couteau. L'expert avait précisé que dans le cadre de son délire de persécution, la probabilité d'un passage à l'acte hétéro-agressif était augmentée, le recourant pouvant le considérer comme étant le seul moyen d'assurer une défense légitime. On ne peut ainsi suivre ce dernier lorsqu'il considère que les faits ne sont pas d'une gravité comparable à une atteinte à l'intégrité physique; on ignore ce qui serait arrivé si une autre personne qu'un policier se serait trouvée face au recourant lors de cet événement.</w:t>
      </w:r>
    </w:p>
    <w:p>
      <w:r>
        <w:t>Cela étant, le recourant ne s'est pas présenté au rendez-vous fixé par le SMI, de sorte que l'on ne dispose pas d'une évaluation actuelle de son état. Comme le relève le recourant lui-même le C______ ne s'exprime pas sur le risque de récidive retenu lors du jugement.</w:t>
      </w:r>
    </w:p>
    <w:p>
      <w:r>
        <w:t>Si certes, le traitement au Risperdal a été jusqu'à maintenant utile et nécessaire, il paraît s'imposer à vie pour le recourant. La Chambre de céans n'est, cependant, pas en mesure de déterminer s'il doit encore être lui être imposé par une mesure ni pour combien de temps. Elle ne peut à l'évidence se contenter de l'affirmation de l'intéressé de vouloir suivre le traitement – qui plus est selon ses propres modalités –.</w:t>
      </w:r>
    </w:p>
    <w:p>
      <w:r>
        <w:t>La cause sera dès lors renvoyée au TAPEM pour qu'il rende une nouvelle décision après avoir obtenu les rapports nécessaires sur l'état psychiatrique actuel du recourant et le risque de récidive qu'il présenterait, au besoin en ordonnant une nouvelle expertise psychiatrique.</w:t>
      </w:r>
    </w:p>
    <w:p>
      <w:r>
        <w:rPr>
          <w:b/>
        </w:rPr>
        <w:t>E. 3</w:t>
      </w:r>
    </w:p>
    <w:p>
      <w:r>
        <w:t>Le recours s'avère ainsi fondé et le jugement du TAPEM sera annulé. La cause lui sera retournée pour nouvelle décision au sens des considérants. La mesure thérapeutique est maintenue entretemps.</w:t>
      </w:r>
    </w:p>
    <w:p>
      <w:r>
        <w:rPr>
          <w:b/>
        </w:rPr>
        <w:t>E. 4</w:t>
      </w:r>
    </w:p>
    <w:p>
      <w:r>
        <w:t>L'admission du recours ne donne pas lieu à la perception de frais (art. 428 al. 1 CPP).</w:t>
      </w:r>
    </w:p>
    <w:p>
      <w:r>
        <w:rPr>
          <w:b/>
        </w:rPr>
        <w:t>E. 5</w:t>
      </w:r>
    </w:p>
    <w:p>
      <w:r>
        <w:t>Il n'y a pas lieu d'indemniser, à ce stade (cf. art, 135 al. 2 CPP), le défenseur d'office, la procédure n'étant pas terminée. * * * * *</w:t>
      </w:r>
    </w:p>
    <w:p>
      <w:r>
        <w:t>- 11/11 - PM/1009/2021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