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ACPR/166/2019 vom 26. September 2018</w:t>
      </w:r>
    </w:p>
    <w:p>
      <w:r>
        <w:t>GE Cour de justice, 2018-09-26, FR</w:t>
      </w:r>
    </w:p>
    <w:p>
      <w:r>
        <w:rPr>
          <w:b/>
        </w:rPr>
        <w:t xml:space="preserve">Quelle: </w:t>
      </w:r>
      <w:r>
        <w:t>https://mcp.opencaselaw.ch/entscheid/ge_gerichte_ACPR_166_2019</w:t>
      </w:r>
    </w:p>
    <w:p>
      <w:r>
        <w:t>FR: GE_GERICHTE ACPR/166/2019 du 26 septembre 2018</w:t>
      </w:r>
    </w:p>
    <w:p>
      <w:r>
        <w:t>IT: GE_GERICHTE ACPR/166/2019 del 26 settembre 2018</w:t>
      </w:r>
    </w:p>
    <w:p>
      <w:pPr>
        <w:pStyle w:val="Heading2"/>
      </w:pPr>
      <w:r>
        <w:t>Erwägungen</w:t>
      </w:r>
    </w:p>
    <w:p>
      <w:r>
        <w:rPr>
          <w:b/>
        </w:rPr>
        <w:t>E. 1</w:t>
      </w:r>
    </w:p>
    <w:p>
      <w:r>
        <w:t>Le recours a été déposé selon la forme et – faute de notification conforme à l'art. 85 al. 2 CPP – dans le délai prescrits (art. 385 al. 1 et 396 al. 1 CPP) et concerne une décision sujette à recours auprès de la Chambre de céans (art. 310 al. 2, 322 al. 2 et 393 al. 1 let. a CPP). La notification sous simple pli n'a pas nui à la recourante, puisque ce mode de signification avait pour seul effet que l'expiration du délai de recours ne pourrait pas lui être opposée si elle avait agi plus de dix jours après avoir reçu la décision attaquée. Or, l'acte de recours a été de toute manière expédié (8 octobre 2018) dans les dix jours suivant la première date possible (27 septembre 2018) de réception de celle-ci, l'expiration du délai le dimanche 7 octobre 2018 reportant l'échéance au lendemain (art. 90 al. 2 CPP). Ainsi, il n'y a pas place pour "constater" quelque violation que ce soit de la loi sur ce point.</w:t>
      </w:r>
    </w:p>
    <w:p>
      <w:r>
        <w:rPr>
          <w:b/>
        </w:rPr>
        <w:t>E. 2</w:t>
      </w:r>
    </w:p>
    <w:p>
      <w:r>
        <w:t>Le recours émane d'une association statutairement vouée à la défense de consommateurs, même si elle n'apparaît pas avoir été constituée avant la survenance des faits qu'elle dénonce, et agit par des membres de son comité ayant qualité pour l'engager. Il convient cependant d'examiner si elle a qualité pour recourir en matière de violation de la LCD, dès lors qu'elle doit justifier d'une importance "régionale" (art. 10 al. 2 let. b LCD). La recourante se présentait comme telle dans sa plainte pénale, mais sans autre développement (ch. 22), sauf à s'affirmer très "populaire sur les réseaux sociaux" (ch. 60); au stade du recours, elle prétend tirer sa qualité pour recourir du fait qu'elle était devenue partie plaignante par le simple dépôt de sa plainte.</w:t>
      </w:r>
    </w:p>
    <w:p>
      <w:r>
        <w:rPr>
          <w:b/>
        </w:rPr>
        <w:t>E. 2.1</w:t>
      </w:r>
    </w:p>
    <w:p>
      <w:r>
        <w:t>La notion d'importance régionale ou nationale de l’organisation est la même qu'à l'art. 89 al. 1 CPC (P. JUNG/Ph. SPITZ, Bundesgesetz gegen den unlauteren Wettbewerb, 2e éd. 2016, n. 13 ad art. 10; G. JEQUIER Les tiers, Travaux du groupe suisse de l'Association Henri Capitant, 2018, n. 139). Elle vise à éviter une</w:t>
      </w:r>
    </w:p>
    <w:p>
      <w:r>
        <w:t>- 4/9 - P/5452/2018 multiplication des procédures, par la création d’associations ad hoc, et à garantir une certaine représentativité par l’entité (Message relatif au code de procédure civile suisse, FF 2006 6901). Les organisations à caractère local, par exemple les associations de quartier, sont donc hors du champ de cette disposition. Savoir si une organisation est d’importance régionale doit s’analyser en fonction du critère de sa représentativité, mais également de l’activité qu’elle déploie pour défendre les intérêts du groupe déterminé, qui doit témoigner du rôle qu’elle joue dans ce domaine. S’agissant de la portée géographique de l’organisation, la doctrine est partagée quant à savoir si elle doit être supra-cantonale, cantonale ou si au contraire une activité même réduite à une portion du canton est suffisante (G. JÉQUIER, op. cit., n. 135). La loi ne prévoit cependant pas que l'organisation doive pré-exister à l'action en justice depuis quelque temps déjà; la création ad hoc d'une association, par exemple en vue d'agir en justice dans un cas donné, suffira pour autant que sa dimension régionale soit significative ("bedeutsam"; P. JUNG/Ph. SPITZ, op. cit., n. 29 ad art. 10). En définitive, il s’agira d’apprécier les circonstances du cas, au regard de l’exigence de représentativité (G. JÉQUIER, op. cit., n. 135).</w:t>
      </w:r>
    </w:p>
    <w:p>
      <w:r>
        <w:rPr>
          <w:b/>
        </w:rPr>
        <w:t>E. 2.2</w:t>
      </w:r>
    </w:p>
    <w:p>
      <w:r>
        <w:t>En l'espèce, la recourante présente les caractéristiques d'une association ad hoc, constituée a posteriori, c'est-à-dire en réaction aux déclarations publiques de dirigeants du groupe B______ sur le ralentissement des performances des batteries de certains téléphones portables. Sur son propre site internet, auquel elle renvoie, la recourante affirme compter "une cinquantaine de membres" (onglet "actu", consulté le 7 février 2019; www.http://A______/______), mais elle n'a nullement étayé ni même rendu vraisemblable qu'elle réunissait les caractéristiques d'une organisation régionale (composition et domicile des membres ou tout autre élément d'implantation au-delà du canton de Genève). Popularité sur les réseaux sociaux et sociétariat proprement dit (art. 70 s. CC) ne sauraient être confondus. Si le législateur avait voulu qu'une association d'importance cantonale suffît pour agir en justice, il l'eût expressément inscrit dans la loi. La représentativité de la recourante n'est donc pas "régionale" au sens de l'art. 10 al. 2 let. b LCD. Par ailleurs, l'on ignore quelle activité elle déploie réellement en faveur de ses buts statutaires, si ce n'est la plainte pénale à l'origine de la décision attaquée. Sur la même page internet que ci-dessus, la recourante fait uniquement état de cette action, qui remonte à plus d'un an, sans qu'aucune autre activité n'apparaisse en vue d'atteindre ses buts statutaires. La qualité pour recourir de la recourante doit donc être déniée.</w:t>
      </w:r>
    </w:p>
    <w:p>
      <w:r>
        <w:rPr>
          <w:b/>
        </w:rPr>
        <w:t>E. 3</w:t>
      </w:r>
    </w:p>
    <w:p>
      <w:r>
        <w:t>En outre, la recourante ne peut pas être suivie lorsqu'elle affirme qu'il y a dans sa plainte des éléments suffisants à l'appui d'une infraction à l'art. 3 LCD pour poursuivre le groupe B______.</w:t>
      </w:r>
    </w:p>
    <w:p>
      <w:r>
        <w:t>- 5/9 - P/5452/2018</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op. cit., n. 10 ad art. 310; DCPR/104/2011 du 11 mai 2011).</w:t>
      </w:r>
    </w:p>
    <w:p>
      <w:r>
        <w:t>- 6/9 - P/5452/2018</w:t>
      </w:r>
    </w:p>
    <w:p>
      <w:r>
        <w:rPr>
          <w:b/>
        </w:rPr>
        <w:t>E. 3.2</w:t>
      </w:r>
    </w:p>
    <w:p>
      <w:r>
        <w:t>La LCD vise à garantir, dans l'intérêt de toutes les parties concernées, une concurrence loyale et qui ne soit pas faussée (art. 1 LCD). À teneur de l'art. 23 al. 1 LCD – qui est une infraction de mise en danger abstraite (CR - LCD, A. MACALUSO / H. DUTOIT, n. 5 ad art. 23) –, quiconque, intentionnellement, se rend coupable de concurrence déloyale au sens des art. 3, 4, 5 ou 6 est, sur plainte, puni d'une peine privative de liberté de trois ans au plus ou d'une peine pécuniaire.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Selon l'art. 3 al. 1 let. i LCD, agit de façon déloyale celui qui trompe la clientèle en faisant illusion sur la qualité, la quantité, les possibilités d'utilisation, l'utilité de marchandises, d'œuvres ou de prestations ou en taisant les dangers qu'elles présentent.</w:t>
      </w:r>
    </w:p>
    <w:p>
      <w:r>
        <w:rPr>
          <w:b/>
        </w:rPr>
        <w:t>E. 3.3</w:t>
      </w:r>
    </w:p>
    <w:p>
      <w:r>
        <w:t>Qu'en l'espèce, B______ ait publiquement reconnu le problème rencontré avec les batteries de certains modèles de téléphone – autrement dit, un défaut – n'impliquait pas nécessairement qu'une illusion déloyale avait été créée jusque là (CR LCD, N. KUONEN, n. 13 ad art. 3 al. 1 let. i). Il ne ressort pas du dossier que le groupe B______ aurait donné des indications inexactes ou fallacieuses sur les performances de ses batteries de téléphone au moment de lancer le logiciel décrié par la recourante. En exposant les caractéristiques de la mise à jour proposée (notice sur les mises à jour, pièce 27 jointe à la plainte), le fabricant n'a pas vanté ni promis de vitesse d'exécution particulière. Inversement, il n'avait aucun devoir d'information spontanée (cf. op. cit., n. 5 ad art. 3 al. 1 let. i) sur les prestations amoindries qui résulteraient de la mise à jour informatique proposée au printemps 2017; précisément, la mise à jour litigieuse n'était pas obligatoire pour le consommateur. En termes de concurrence économique, on conçoit mal qu'un fabricant doive spontanément déclarer les imperfections de ses produits, i.e. les dévaloriser par rapport à un autre compétiteur, lorsqu'il les offre sur le marché. Enfin, les possibilités concrètes d'utilisation des appareils téléphoniques concernés (les prestations offertes) subsistent même si la durée d'utilisation de la batterie avant la prochaine recharge a raccourci. Pour le surplus, la recourante reconnaît que le droit suisse n'a pas de disposition légale pour lutter contre l'obsolescence programmée.</w:t>
      </w:r>
    </w:p>
    <w:p>
      <w:r>
        <w:rPr>
          <w:b/>
        </w:rPr>
        <w:t>E. 4</w:t>
      </w:r>
    </w:p>
    <w:p>
      <w:r>
        <w:t>La non-entrée en matière s'avère justifiée, et le recours infondé. Au vu de ce qui précède, il n'était pas nécessaire d'examiner si l'absence de lien étroit des faits avec la Suisse, au sens des art. 3 al. 1 et 8 al. 1 CP, commandait de décliner la compétence des autorités pénales suisses en présence d'une infraction présumée qui reste un délit de mise en danger abstraite (cf. ATF 141 IV 336 consid. 1.2. p. 339).</w:t>
      </w:r>
    </w:p>
    <w:p>
      <w:r>
        <w:t>- 7/9 - P/5452/2018</w:t>
      </w:r>
    </w:p>
    <w:p>
      <w:r>
        <w:rPr>
          <w:b/>
        </w:rPr>
        <w:t>E. 5</w:t>
      </w:r>
    </w:p>
    <w:p>
      <w:r>
        <w:t>La recourante, qui succombe dans toutes ses conclusions, supportera (art. 418 al. 2 CPP) les frais de l'État, fixés en totalité à CHF 1'000.- (art. 428 al. 1 CPP et 13 al. 1 du Règlement fixant le tarif des frais en matière pénale, RTFMP; E 4 10.03).</w:t>
      </w:r>
    </w:p>
    <w:p>
      <w:r>
        <w:rPr>
          <w:b/>
        </w:rPr>
        <w:t>E. 6</w:t>
      </w:r>
    </w:p>
    <w:p>
      <w:r>
        <w:t>La présente décision sera communiquée au Ministère public de la Confédération et au Département fédéral de l'économie, de la formation et de la recherche (art. 75 al. 4 CPP et 27 al. 2 LCD). * * * * *</w:t>
      </w:r>
    </w:p>
    <w:p>
      <w:r>
        <w:t>- 8/9 - P/5452/2018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