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ACPR/164/2025 vom 17. Dezember 2024</w:t>
      </w:r>
    </w:p>
    <w:p>
      <w:r>
        <w:t>GE Cour de justice, 2024-12-17, FR</w:t>
      </w:r>
    </w:p>
    <w:p>
      <w:r>
        <w:rPr>
          <w:b/>
        </w:rPr>
        <w:t xml:space="preserve">Quelle: </w:t>
      </w:r>
      <w:r>
        <w:t>https://mcp.opencaselaw.ch/entscheid/ge_gerichte_ACPR_164_2025</w:t>
      </w:r>
    </w:p>
    <w:p>
      <w:r>
        <w:t>FR: GE_GERICHTE ACPR/164/2025 du 17 décembre 2024</w:t>
      </w:r>
    </w:p>
    <w:p>
      <w:r>
        <w:t>IT: GE_GERICHTE ACPR/164/2025 del 17 dicembre 2024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septembre 2024 consid. 3.2.2), pour avoir personnellement formé opposition le</w:t>
      </w:r>
    </w:p>
    <w:p>
      <w:r>
        <w:rPr>
          <w:b/>
        </w:rPr>
        <w:t>E. 24</w:t>
      </w:r>
    </w:p>
    <w:p>
      <w:r>
        <w:t>septembre 2024 à l’ordonnance pénale qui sera maintenue et transmise au Tribunal de police ;</w:t>
      </w:r>
    </w:p>
    <w:p>
      <w:r>
        <w:t>- 3/4 - P/… - il s’ensuit que le recourant pouvait s’attendre à recevoir des communications émanant des autorités pénales, mais qu’il n’a pas agi – comme il aurait dû le faire – avant le 7 janvier 2025, expiration du délai de recours de dix jours, ce qui rend son recours tardif ; - la cause pouvait dès lors être traitée d’emblée, sans échange d’écritures ni débats (art. 390 al. 2 et 5 a contrario CPP) ; - la procédure est gratuite (art. 20 RAJ).</w:t>
      </w:r>
    </w:p>
    <w:p>
      <w:r>
        <w:t>***</w:t>
      </w:r>
    </w:p>
    <w:p>
      <w:r>
        <w:t>- 4/4 - P/…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