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ACPR/162/2024 vom 16. Januar 2024</w:t>
      </w:r>
    </w:p>
    <w:p>
      <w:r>
        <w:t>GE Cour de justice, 2024-01-16, FR</w:t>
      </w:r>
    </w:p>
    <w:p>
      <w:r>
        <w:rPr>
          <w:b/>
        </w:rPr>
        <w:t xml:space="preserve">Quelle: </w:t>
      </w:r>
      <w:r>
        <w:t>https://mcp.opencaselaw.ch/entscheid/ge_gerichte_ACPR_162_2024</w:t>
      </w:r>
    </w:p>
    <w:p>
      <w:r>
        <w:t>FR: GE_GERICHTE ACPR/162/2024 du 16 janvier 2024</w:t>
      </w:r>
    </w:p>
    <w:p>
      <w:r>
        <w:t>IT: GE_GERICHTE ACPR/162/2024 del 16 gennaio 2024</w:t>
      </w:r>
    </w:p>
    <w:p>
      <w:pPr>
        <w:pStyle w:val="Heading2"/>
      </w:pPr>
      <w:r>
        <w:t>Erwägungen</w:t>
      </w:r>
    </w:p>
    <w:p>
      <w:r>
        <w:rPr>
          <w:b/>
        </w:rPr>
        <w:t>E. 1.1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La Chambre de céans jouit d'un plein pouvoir de cognition en droit et en fait (art. 393 al. 2 CPP) (ATF 137 I 195 consid. 2.3.2 p. 197; arrêt du Tribunal fédéral 1B_524/2012 du 15 novembre 2012 consid. 2.1.).</w:t>
      </w:r>
    </w:p>
    <w:p>
      <w:r>
        <w:rPr>
          <w:b/>
        </w:rPr>
        <w:t>E. 2</w:t>
      </w:r>
    </w:p>
    <w:p>
      <w:r>
        <w:t>Le recourant reproche au TMC d'avoir fait un copier-coller en reprenant les motifs avancés par le Ministère public qui, eux-mêmes, étaient similaires à ceux ressortant de son préavis de refus de mise en liberté du 22 novembre 2023.</w:t>
      </w:r>
    </w:p>
    <w:p>
      <w:r>
        <w:rPr>
          <w:b/>
        </w:rPr>
        <w:t>E. 2.1</w:t>
      </w:r>
    </w:p>
    <w:p>
      <w:r>
        <w:t>La garantie du droit d'être entendu, déduite de l'art. 29 al. 2 Cst., impose à l'autorité de motiver ses décisions, afin que les parties puissent les comprendre et</w:t>
      </w:r>
    </w:p>
    <w:p>
      <w:r>
        <w:t>- 10/15 - P/3124/2023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p. 183 ; 138 I 232 consid. 5.1; arrêts du Tribunal fédéral 1B_74/2014 du 7 avril 2014 consid. 2.1; 1B_62/2014 du</w:t>
      </w:r>
    </w:p>
    <w:p>
      <w:r>
        <w:rPr>
          <w:b/>
        </w:rPr>
        <w:t>E. 2.2</w:t>
      </w:r>
    </w:p>
    <w:p>
      <w:r>
        <w:t>En l'espèce, il n'apparaît pas que la motivation du premier juge sur les éléments topiques soit déficiente. Rien n'interdit en effet à l'autorité précédente de faire sienne la motivation présentée à l'appui d'une requête et n'a notamment pas à la reprendre sous une forme différente de celle présentée par le Ministère public (ACPR/280/2018 consid. 3).</w:t>
      </w:r>
    </w:p>
    <w:p>
      <w:r>
        <w:t>Les griefs portés au Ministère public sont au demeurant inconsistants, le recourant n'énonçant pas quels nouveaux arguments n'auraient pas été pris en compte par cette autorité entre le 22 novembre 2023, date de sa prise de position refusant la mise en liberté de l'intéressé, et sa demande de prolongation de la détention provisoire, le 11 janvier 2024. En tout état, la Chambre de céans dispose d'un plein pouvoir de cognition et le recourant a pu à nouveau faire valoir ses moyens ici, de sorte qu'une prétendue violation de son droit d'être entendu serait quoi qu'il en soit considérée comme réparée. 3. 3.1. 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 3.2. En l'espèce, c'est à tort que le recourant estime que les charges pesant à son encontre ne justifient plus sa détention provisoire.</w:t>
      </w:r>
    </w:p>
    <w:p>
      <w:r>
        <w:t>- 11/15 - P/3124/2023 Il est formellement mis en cause par F______ s'agissant des faits du 8 février 2023 et du 3 mai 2021. Or, on peine à voir pour quel motif celui-ci l'impliquerait à tort. Selon le plaignant N______ lui-même, le prévenu, qui était son employé et disposait d'informations privilégiées, aurait renseigné les auteurs sur la configuration des lieux et la présence chez lui d'un coffre contenant des valeurs. Lors de la dernière audience, il a même déclaré en être à présent certain, l'intéressé ayant assisté à une réunion entre lui et son ingénieur évoquant des pièces d'or. À cela s'ajoutent les analyses des données rétroactives des raccordements téléphoniques qui ont notamment révélé de nombreux contacts préalables entre F______ notamment et M______, dont l'ADN avait été retrouvé sur des objets abandonnés non loin du domicile des plaignants. La plaignante G______ soupçonne quant à elle également le prévenu, qu'elle connaissait et qui était déjà venu chez elle, d'être impliqué dans les faits la concernant, celui-ci l'ayant appelée plusieurs fois peu avant l'heure des faits pour s'assurer qu'elle avait quitté son appartement, ce que les analyses téléphoniques ont corroboré, tout comme l'existence de contacts téléphoniques ou de tentatives d'appels entre le prévenu et F______ avant et après les faits. Aucun nouvel élément à ce jour n'est venu amoindrir ces charges – qui sont d'une grande gravité – depuis la mise en détention provisoire prononcée le 20 octobre 2023.</w:t>
      </w:r>
    </w:p>
    <w:p>
      <w:r>
        <w:rPr>
          <w:b/>
        </w:rPr>
        <w:t>E. 4</w:t>
      </w:r>
    </w:p>
    <w:p>
      <w:r>
        <w:t>Le recourant conteste tout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t>- 12/15 - P/3124/2023</w:t>
      </w:r>
    </w:p>
    <w:p>
      <w:r>
        <w:rPr>
          <w:b/>
        </w:rPr>
        <w:t>E. 4.2</w:t>
      </w:r>
    </w:p>
    <w:p>
      <w:r>
        <w:t>En l'occurrence, le recourant nie intégralement les faits reprochés. Le risque qu'il entrave la manifestation de la vérité en cherchant à influencer ses comparses en France, M______, Q______ et R______, pour faire coïncider leurs versions, reste entier. Est également très élevé le risque qu'il ne cherche à intimider les plaignants G______ et N______, vu leurs liens, pour les faire revenir sur leurs déclarations. En outre, à ce stade, il n'a pas encore pu être confronté au fils de la plaignante G______, H______, lequel sera entendu le 26 mars prochain. L'acuité de ce risque ne saurait être palliée par aucune mesure de substitution. L'interdiction de contact proposée apparaît clairement insuffisante mais également difficilement contrôlable.</w:t>
      </w:r>
    </w:p>
    <w:p>
      <w:r>
        <w:rPr>
          <w:b/>
        </w:rPr>
        <w:t>E. 5</w:t>
      </w:r>
    </w:p>
    <w:p>
      <w:r>
        <w:t>L'admission de ce risque dispense d'examiner si s'y ajoute le risque de fuite.</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rPr>
          <w:b/>
        </w:rPr>
        <w:t>E. 6.2</w:t>
      </w:r>
    </w:p>
    <w:p>
      <w:r>
        <w:t>En l'occurrence, le prévenu a été appréhendé le 18 octobre 2023. L'instruction porte sur trois complexes de faits très graves et nécessite notamment des actes d'enquête en France, dont rien n'indique qu'ils seront exécutés avant le 26 mars 2024, date de la prochaine audience fixée. Eu égard à la peine concrètement encourue si le recourant devait être reconnu coupable des préventions retenues contre lui, la durée de la détention provisoire à ce jour et à l'échéance de la durée prononcée respecte ainsi le principe de la proportionnalité.</w:t>
      </w:r>
    </w:p>
    <w:p>
      <w:r>
        <w:rPr>
          <w:b/>
        </w:rPr>
        <w:t>E. 7</w:t>
      </w:r>
    </w:p>
    <w:p>
      <w:r>
        <w:t>Le recours s'avère infondé et doit être rejeté.</w:t>
      </w:r>
    </w:p>
    <w:p>
      <w:r>
        <w:rPr>
          <w:b/>
        </w:rPr>
        <w:t>E. 8</w:t>
      </w:r>
    </w:p>
    <w:p>
      <w:r>
        <w:t>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w:t>
      </w:r>
    </w:p>
    <w:p>
      <w:r>
        <w:t>- 13/15 - P/3124/2023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l'espèce, quand bien même le recourant succombe, on peut admettre que l'exercice du présent recours ne procède pas d'un abus.</w:t>
      </w:r>
    </w:p>
    <w:p>
      <w:r>
        <w:t>L'indemnité du défenseur d'office sera fixée à la fin de la procédure (art. 135 al. 2 CPP). * * * * *</w:t>
      </w:r>
    </w:p>
    <w:p>
      <w:r>
        <w:t>- 14/15 - P/3124/2023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