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ACPR/161/2026 vom 12. Februar 2026</w:t>
      </w:r>
    </w:p>
    <w:p>
      <w:r>
        <w:t>GE Cour de justice, 2026-02-12, FR</w:t>
      </w:r>
    </w:p>
    <w:p>
      <w:r>
        <w:rPr>
          <w:b/>
        </w:rPr>
        <w:t xml:space="preserve">Quelle: </w:t>
      </w:r>
      <w:r>
        <w:t>https://mcp.opencaselaw.ch/entscheid/ge_gerichte_ACPR_161_2026</w:t>
      </w:r>
    </w:p>
    <w:p>
      <w:r>
        <w:t>FR: GE_GERICHTE ACPR/161/2026 du 12 février 2026</w:t>
      </w:r>
    </w:p>
    <w:p>
      <w:r>
        <w:t>IT: GE_GERICHTE ACPR/161/2026 del 12 febbraio 2026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385 al. 1 et 396 al. 1 CPP). Doit toutefois être examinée la question de savoir s'il concerne une décision sujette à recours auprès de la Chambre de céans.</w:t>
      </w:r>
    </w:p>
    <w:p>
      <w:r>
        <w:rPr>
          <w:b/>
        </w:rPr>
        <w:t>E. 3</w:t>
      </w:r>
    </w:p>
    <w:p>
      <w:r>
        <w:t>Le recourant conteste le séquestre de son [téléphone portable] B______ dans le cadre de la présente procédure.</w:t>
      </w:r>
    </w:p>
    <w:p>
      <w:r>
        <w:t>- 4/7 - P/26526/2025 C'est le lieu de préciser que le présent recours vise l'ordonnance de perquisition et de séquestre du 14 janvier 2026 et non pas les mesures de contrainte et autres actes de procédure intervenus dans la procédure P/2______/2024 dans laquelle le recourant est prévenu. Ces questions sont exorbitantes à l'objet du litige qui est circonscrit à l'ordonnance attaquée. Les griefs y relatifs du recourant ne seront donc pas traités. 3.1.1. L'art. 248 al. 1 1ère phrase CPP prévoit que si le détenteur s'oppose au séquestre de certains documents, enregistrements ou autres objets en vertu de l'art. 264 CPP, l'autorité pénale les met sous scellés. Le détenteur doit requérir la mise sous scellés dans les trois jours suivant la mise en sûreté. Durant ce délai et après une éventuelle mise sous scellés, les documents, enregistrements et autres objets ne peuvent être ni examinés, ni exploités par l’autorité pénale. 3.1.2. Selon l'art. 264 al. 1 CPP, quel que soit l'endroit où ils se trouvent et le moment où ils ont été conçus, ne peuvent pas être séquestrés, notamment, les documents personnels et la correspondance du prévenu, si l'intérêt à la sauvegarde de la sphère intime du prévenu l'emporte sur l'intérêt public à l'établissement de la vérité (let. b). En font partie le journal intime, les agendas, etc. (Y. JEANNERET / A. KUHN / C. PERRIER DEPEURSINGE (éds), Commentaire romand : Code de procédure pénale suisse, 2ème éd., Bâle 2019, n. 6 ad art. 264). 3.1.3. Selon la jurisprudence rendue sous l'ancien droit – qui reste applicable –, la procédure de levée des scellés vise à garantir que les secrets éventuellement contenus dans les éléments saisis en vue d'être perquisitionnés soient protégés (cf. art. 246 à 248 CPP). 3.1.4. À teneur de l'art. 393 al. 1 let. a CPP, le recours est ouvert contre les décisions et les actes de procédure de la police, du ministère public et des autorités pénales compétentes en matière de contraventions. Cette disposition implique qu'une ordonnance de perquisition et de séquestre – qui constitue une mesure de contrainte au sens de l'art. 196 CPP – est, en principe, sujette à recours auprès de la Chambre de céans (cf. art. 198 al. 1 let. a CPP; Y. JEANNERET / A. KUHN / C. PERRIER DEPEURSINGE (éds), op. cit., n. 33 ad art. 393). Cela étant, le recours est irrecevable dans le cas où des mesures de contrainte débouchent sur une procédure d'apposition et de levée des scellés (cf. art. 248 CPP), celle-ci permettant à l'ayant droit d'invoquer ses objections, dont l'insuffisance de soupçons laissant présumer une infraction (art. 197 al. 1 let. b CPP), l'absence de pertinence des objets et/ou documents séquestrés pour la procédure pénale, la violation du principe de proportionnalité (art. 197 al. 1 let. c CPP) et/ou l'illicéité de l'ordre de perquisition, puisqu'il n'est en principe pas admissible de pouvoir présenter au cours d'une procédure pénale des preuves obtenues de manière illicite (art. 139 et 141 CPP). La voie du recours de l'art. 393 CPP n'entre dès lors en ligne de compte que si les griefs soulevés ne concernent aucun intérêt juridiquement protégé au maintien du secret protégé par</w:t>
      </w:r>
    </w:p>
    <w:p>
      <w:r>
        <w:t>- 5/7 - P/26526/2025 les scellés. Ce moyen de droit doit ainsi notamment être ouvert lorsque la perquisition n'a abouti à aucune saisie, puisqu'alors l'intéressé ne peut défendre ses droits au cours d'une procédure de levée de scellés (ATF 143 IV 270 consid. 6-7; arrêts du Tribunal fédéral 1B_550/2021 du 13 janvier 2022 consid. 3.1.2). Autrement dit, la procédure de levée des scellés a le pas sur un éventuel recours visant à contester la mesure de contrainte initiale (arrêts du Tribunal fédéral 7B_253/2023 du 31 août 2023 consid. 3.2.2. et 7B_733/2025 du 22 décembre 2025 consid. 4.2.2). La Chambre de céans a d'ailleurs déclaré irrecevable le recours d'un prévenu contre une ordonnance de perquisition et de séquestre de son téléphone portable, au motif que les griefs invoqués, soit la violation du principe de la proportionnalité et l'absence de pertinence des données séquestrées, avaient pu être soulevés dans le cadre de la procédure de levée de scellés pendante (ACPR/575/2024 du 6 août 2024 consid. 2.2). Le Tribunal fédéral a confirmé cette motivation (7B_950/2024 - 7B_976/2024 du 15 novembre 2024 destiné à la publication, consid. 3.5).</w:t>
      </w:r>
    </w:p>
    <w:p>
      <w:r>
        <w:rPr>
          <w:b/>
        </w:rPr>
        <w:t>E. 3.2</w:t>
      </w:r>
    </w:p>
    <w:p>
      <w:r>
        <w:t>En l'occurrence, le recourant a, dans la présente procédure, demandé immédiatement la mise sous scellés de son téléphone portable et des données qui y sont contenues, ce qui a conduit à une procédure de levée des scellés, à la suite de la requête du Ministère public du 2 février 2026, qui est toujours en cours. Dans ce cadre, l'intéressé aura pu faire valoir ses griefs tirés de la violation de l'art. 263 CPP, des principes de proportionnalité et de la bonne foi, ainsi que de l'absence de pertinence des données séquestrées. Conformément à la jurisprudence susmentionnée, encore rappelée récemment par la Chambre de céans (ACPR/465/2025 du 23 juin 2025; ACPR/575/2024 du 6 août 2024, confirmé par l'arrêt du Tribunal fédéral 7B_950/2024 - 7B_976/2024 du 15 novembre 2024 destiné à la publication, consid. 3.5; ACPR/496/2025 du 4 décembre 2024, confirmé par l'arrêt du Tribunal fédéral 7B_733/2025 précité consid. 4.2.2), le recours contre l'ordonnance de perquisition et de séquestre du 14 janvier 2026 n'est par conséquent pas ouvert.</w:t>
      </w:r>
    </w:p>
    <w:p>
      <w:r>
        <w:rPr>
          <w:b/>
        </w:rPr>
        <w:t>E. 4</w:t>
      </w:r>
    </w:p>
    <w:p>
      <w:r>
        <w:t>Au vu de ce qui précède, le recours doit être déclaré irrecevable.</w:t>
      </w:r>
    </w:p>
    <w:p>
      <w:r>
        <w:rPr>
          <w:b/>
        </w:rPr>
        <w:t>E. 5</w:t>
      </w:r>
    </w:p>
    <w:p>
      <w:r>
        <w:t>Le recourant, qui succombe, supportera les frais envers l'État, fixés en totalité à CHF 800.- (art. 428 al. 1 CPP et 13 al. 1 du Règlement fixant le tarif des frais en matière pénale, RTFMP ; E 4 10.03).</w:t>
      </w:r>
    </w:p>
    <w:p>
      <w:r>
        <w:rPr>
          <w:b/>
        </w:rPr>
        <w:t>E. 6</w:t>
      </w:r>
    </w:p>
    <w:p>
      <w:r>
        <w:t>Dès lors que le recourant n'obtient pas gain de cause, il n'y a pas à l'indemniser (art. 429 al. 1 let. a CPP a contrario), étant au surplus relevé qu'il a agi seul devant la Chambre de céans. * * * * *</w:t>
      </w:r>
    </w:p>
    <w:p>
      <w:r>
        <w:t>- 6/7 - P/26526/2025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