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ACPR/15/2020 vom 20. Juni 2019</w:t>
      </w:r>
    </w:p>
    <w:p>
      <w:r>
        <w:t>GE Cour de justice, 2019-06-20, FR</w:t>
      </w:r>
    </w:p>
    <w:p>
      <w:r>
        <w:rPr>
          <w:b/>
        </w:rPr>
        <w:t xml:space="preserve">Quelle: </w:t>
      </w:r>
      <w:r>
        <w:t>https://mcp.opencaselaw.ch/entscheid/ge_gerichte_ACPR_15_2020</w:t>
      </w:r>
    </w:p>
    <w:p>
      <w:r>
        <w:t>FR: GE_GERICHTE ACPR/15/2020 du 20 juin 2019</w:t>
      </w:r>
    </w:p>
    <w:p>
      <w:r>
        <w:t>IT: GE_GERICHTE ACPR/15/2020 del 20 giugno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recevable pour avoir été déposé selon la forme et dans le délai prescrits (art. 385 al. 1 et 396 al. 1 CPP), concerner une ordonnance sujette à recours auprès de la Chambre de céans (art. 393 al. 1 let. a CPP) et émaner de la partie plaignante qui, partie à la procédure (art. 30 al. 2 CP et 104 al. 1 let. b CPP), a qualité pour agir, ayant un intérêt juridiquement protégé à la modification ou à l'annulation de la décision querellée (art. 382 al. 1 CPP).</w:t>
      </w:r>
    </w:p>
    <w:p>
      <w:r>
        <w:rPr>
          <w:b/>
        </w:rPr>
        <w:t>E. 2</w:t>
      </w:r>
    </w:p>
    <w:p>
      <w:r>
        <w:t>Les pièces nouvelles produites à l'appui du recours sont également recevables, la jurisprudence admettant la production de faits et de moyens de preuve nouveaux en deuxième instance (arrêts du Tribunal fédéral 1B_368/2014 du 5 février 2015 consid. 3.1 et 3.2 et 1B_768/2012 du 15 janvier 2013 consid. 2.1).</w:t>
      </w:r>
    </w:p>
    <w:p>
      <w:r>
        <w:t>- 5/8 - P/15211/2018</w:t>
      </w:r>
    </w:p>
    <w:p>
      <w:r>
        <w:rPr>
          <w:b/>
        </w:rPr>
        <w:t>E. 3</w:t>
      </w:r>
    </w:p>
    <w:p>
      <w:r>
        <w:t>La Chambre pénale de recours peut décider d'emblée de traiter sans échange d'écritures ni débats les recours manifestement mal fondés (art. 390 al. 2 et</w:t>
      </w:r>
    </w:p>
    <w:p>
      <w:r>
        <w:rPr>
          <w:b/>
        </w:rPr>
        <w:t>E. 5</w:t>
      </w:r>
    </w:p>
    <w:p>
      <w:r>
        <w:t>L'ordonnance querellée fondée sur l'art. 319 al. 1 let. b CPP sera donc confirmée.</w:t>
      </w:r>
    </w:p>
    <w:p>
      <w:r>
        <w:rPr>
          <w:b/>
        </w:rPr>
        <w:t>E. 6</w:t>
      </w:r>
    </w:p>
    <w:p>
      <w:r>
        <w:t>La recourante, qui succombe, supportera les frais envers l'État, qui seront fixés en totalité à CHF 1'000.- (art. 428 al. 1 CPP et 13 al. 1 du Règlement fixant le tarif des frais en matière pénale, RTFMP ; E 4 10.03). * * * * *</w:t>
      </w:r>
    </w:p>
    <w:p>
      <w:r>
        <w:t>- 7/8 - P/15211/2018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