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ACPR/158/2019 vom 20. August 2018</w:t>
      </w:r>
    </w:p>
    <w:p>
      <w:r>
        <w:t>GE Cour de justice, 2018-08-20, FR</w:t>
      </w:r>
    </w:p>
    <w:p>
      <w:r>
        <w:rPr>
          <w:b/>
        </w:rPr>
        <w:t xml:space="preserve">Quelle: </w:t>
      </w:r>
      <w:r>
        <w:t>https://mcp.opencaselaw.ch/entscheid/ge_gerichte_ACPR_158_2019</w:t>
      </w:r>
    </w:p>
    <w:p>
      <w:r>
        <w:t>FR: GE_GERICHTE ACPR/158/2019 du 20 août 2018</w:t>
      </w:r>
    </w:p>
    <w:p>
      <w:r>
        <w:t>IT: GE_GERICHTE ACPR/158/2019 del 20 agosto 2018</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 106 al. 2 CPP et art. 30 al. 2 CP).</w:t>
      </w:r>
    </w:p>
    <w:p>
      <w:r>
        <w:rPr>
          <w:b/>
        </w:rPr>
        <w:t>E. 2</w:t>
      </w:r>
    </w:p>
    <w:p>
      <w:r>
        <w:t>Les recourants estiment que le Ministère public devait entrer en matière et procéder à des actes d'instruction, notamment à l'audition de E______, au regard du principe "in dubio pro duriore".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w:t>
      </w:r>
    </w:p>
    <w:p>
      <w:r>
        <w:t>- 6/12 - P/15225/2018 clairement que les faits ne sont pas punissables ou que les conditions à la poursuite pénale ne sont pas remplies (ATF 138 IV 86 consid. 4.1.2 p. 91; 137 IV 285 consid.</w:t>
      </w:r>
    </w:p>
    <w:p>
      <w:r>
        <w:rPr>
          <w:b/>
        </w:rPr>
        <w:t>E. 2.2</w:t>
      </w:r>
    </w:p>
    <w:p>
      <w:r>
        <w:t>Se rend coupable d'extorsion au sens de l'art. 156 ch. 1 CP – infraction qui prime sur l'art. 181 CP (B. CORBOZ, Les infractions en droit suisse, vol. I, 3e éd., Berne 2010, n. 33 ad art. 156) – celui qui, dans le dessein de se procurer ou de procurer à un</w:t>
      </w:r>
    </w:p>
    <w:p>
      <w:r>
        <w:t>- 7/12 - P/15225/2018 tiers un enrichissement illégitime, aura déterminé une personne à des actes préjudiciables à ses intérêts pécuniaires ou à ceux d'un tiers, en usant de violence ou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120 IV 17 consid. 2a/aa p. 19 et les arrêts cités).</w:t>
      </w:r>
    </w:p>
    <w:p>
      <w:r>
        <w:rPr>
          <w:b/>
        </w:rPr>
        <w:t>E. 2.3</w:t>
      </w:r>
    </w:p>
    <w:p>
      <w:r>
        <w:t>Se rend coupable de séquestration au sens de l'art. 183 al. 1 CP, celui qui, sans droit, aura arrêté une personne, l'aura retenue prisonnière, ou l'aura, de toute autre manière, privée de sa liberté. La séquestration consiste à maintenir la personne au lieu où elle se trouve sans droit (ATF 119 IV 216 consid. 2.a). Le bien juridique protégé est la liberté de déplacement. Les éléments objectifs constitutifs sont réalisés si la personne est privée de sa liberté d'aller et venir et de choisir le lieu où elle souhaite rester. Un simple obstacle passager à la liberté de mouvement n'est pas répréhensible. Il n'est toutefois pas nécessaire que la privation de liberté soit de longue durée. Quelques minutes suffisent (arrêt du Tribunal fédéral 6B_637/2011 du 13 avril 2012 consid. 3.3.1). Le moyen utilisé pour atteindre le résultat, c'est-à-dire priver la personne de sa liberté, n'est pas déterminant. Une personne peut être séquestrée par le recours à la menace, à la violence, en soustrayant les moyens dont elle a besoin pour partir ou encore en la plaçant dans des conditions telles qu'elle se sent dans l'impossibilité de s'en aller (ATF 104 IV 170 consid. 2 ; arrêts du Tribunal fédéral 6B_1070/2017 du 20 avril 2018 consid. 4.2 et 6B_637/2011 du 13 avril 2012 consid. 3.3.1).</w:t>
      </w:r>
    </w:p>
    <w:p>
      <w:r>
        <w:rPr>
          <w:b/>
        </w:rPr>
        <w:t>E. 2.4</w:t>
      </w:r>
    </w:p>
    <w:p>
      <w:r>
        <w:t>Se rend coupable d'exposition au sens de l'art. 127 CP, celui qui, ayant la garde d'une personne hors d'état de se protéger elle-même ou le devoir de veiller sur elle, l'aura exposée à un danger de mort ou à un danger grave et imminent pour la santé, ou l'aura abandonnée en un tel danger.</w:t>
      </w:r>
    </w:p>
    <w:p>
      <w:r>
        <w:t>- 8/12 - P/15225/2018 Pour que cette infraction soit réalisée, il faut qu'il existe chez l'auteur un devoir de surveillance de la victime et que celle-ci se trouve hors d'état de se protéger contre le danger qui la menace. L'obligation de veiller sur la victime peut, notamment, être de nature contractuelle (B. CORBOZ, Les infractions en droit suisse, vol. I, 3e éd., Berne 2010, n. 5 ad art. 127). Il faut ensuite que la victime soit hors d'état de se protéger elle-même. Un tel état peut résulter de circonstances diverses telles que le jeune âge, la maladie, l'influence de substances psychotropes, l'inexpérience dans un domaine technique ou encore la méconnaissance d'un danger difficile à déceler (M. DUPUIS / L. MOREILLON / C. PIGUET / S. BERGER / M. MAZOU / V. RODIGARI (éds), Code pénal - Petit commentaire, 2e éd., Bâle 2017, n. 6 ad art. 127). L'infraction est intentionnelle mais le dol éventuel suffit (B. CORBOZ, op. cit., n. 15 ad art. 127 et les références citées). Il faut que l'auteur reconnaisse la possibilité d'un danger grave et imminent et admette le risque que son omission fasse naître ou perdurer un tel danger (BJP 1982 no 342).</w:t>
      </w:r>
    </w:p>
    <w:p>
      <w:r>
        <w:rPr>
          <w:b/>
        </w:rPr>
        <w:t>E. 2.5</w:t>
      </w:r>
    </w:p>
    <w:p>
      <w:r>
        <w:t>p. 288; arrêt du Tribunal fédéral 1B_112/2012 du 6 décembre 2012).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2.5.1</w:t>
      </w:r>
    </w:p>
    <w:p>
      <w:r>
        <w:t>En l'espèce, s'agissant de la tentative d'extorsion reprochée, la recourante ne fait état d'aucune violence et se borne à affirmer que les intimés lui ont "mis la pression", sans toutefois détailler à la police le comportement exact des mis en cause à son endroit ou les termes utilisés. Elle précise uniquement qu'ils l'auraient menacée, lors du deuxième entretien, de faire saisir ses chevaux et de les vendre, ce qui est contesté par les mis en cause. Même à supposer que tel ait été le cas, le simple fait que les intimés aient mentionné avoir cette possibilité, relevant du droit civil, n'est pas de nature à constituer des violences ou la menace d'un dommage sérieux, au sens du droit pénal, pas plus qu'elle ne fonde un dessein d'enrichissement illégitime, au vu du fondement juridique allégué. Force est ainsi de constater qu'aucun élément du dossier ne permet d'établir que les intimés auraient adopté un comportement répréhensible pour recouvrer de l'argent qu'ils affirment leur être dû. Il en résulte que les éléments constitutifs de l'infraction de tentative d'extorsion n'apparaissent pas réunis.</w:t>
      </w:r>
    </w:p>
    <w:p>
      <w:r>
        <w:rPr>
          <w:b/>
        </w:rPr>
        <w:t>E. 2.5.2</w:t>
      </w:r>
    </w:p>
    <w:p>
      <w:r>
        <w:t>Concernant l'infraction de séquestration, la recourante a estimé que l'influence des mis en cause était telle qu'elle n'aurait pas pu quitter le carnotzet. Or, il ressort du dossier, en particulier de la déclaration de F______, que les mis en cause ont, à tout le moins concernant le deuxième épisode litigieux, demandé à la recourante de les suivre au carnotzet pour discuter, ce qu'elle a accepté de faire, la recourante n'alléguant pour sa part à aucun moment avoir été contrainte par les intéressés à se rendre au carnotzet avec eux. Elle n'a en outre pas argué que la position des intimés dans la pièce ou un verrouillage de la porte l'auraient empêchée de partir à tout moment, l'eût-elle voulu.</w:t>
      </w:r>
    </w:p>
    <w:p>
      <w:r>
        <w:t>- 9/12 - P/15225/2018 Dans ces circonstances, force est de constater que l’impossibilité pour la recourante de quitter le carnotzet et, partant, l'infraction de séquestration, ne sont pas établies.</w:t>
      </w:r>
    </w:p>
    <w:p>
      <w:r>
        <w:rPr>
          <w:b/>
        </w:rPr>
        <w:t>E. 2.5.3</w:t>
      </w:r>
    </w:p>
    <w:p>
      <w:r>
        <w:t>Finalement, concernant l'infraction d'exposition, il appert que les éléments constitutifs de l'art. 127 CP ne sont pas réunis. En effet, les intimés n'avaient pas de position de garant à l'égard de la recourante, dès lors que ses chevaux étaient seulement en pension au manège de ______ (GE), ce qui n'est d'ailleurs pas contesté. Rien ne laissait en outre penser qu'elle aurait pu être exposée à un quelconque danger en allant en balade à cheval, ce d'autant qu'elle était accompagnée de son ami qui marchait à ses côtés. S'agissant de l'audition de E______ visant à établir si la recourante est réellement tombée de cheval ou a glissé du 4x4 de son père, elle n'apparaît pas utile à l'élucidation des faits de la cause, le précité n'ayant en outre pas été témoin des deux discussions litigieuses. Au vu de ce qui précède, les éléments à disposition du Ministère public étaient insuffisants pour obtenir une condamnation des mis en cause de ce chef.</w:t>
      </w:r>
    </w:p>
    <w:p>
      <w:r>
        <w:rPr>
          <w:b/>
        </w:rPr>
        <w:t>E. 3</w:t>
      </w:r>
    </w:p>
    <w:p>
      <w:r>
        <w:t>Justifiée, l'ordonnance querellée sera donc confirmée.</w:t>
      </w:r>
    </w:p>
    <w:p>
      <w:r>
        <w:rPr>
          <w:b/>
        </w:rPr>
        <w:t>E. 4</w:t>
      </w:r>
    </w:p>
    <w:p>
      <w:r>
        <w:t>Les recourants, qui succombent, supporteront les frais envers l'État (art. 428 al. 1 CPP et 13 al. 1 du Règlement fixant le tarif des frais en matière pénale, RTFMP ; E 4 10.03), fixés en totalité à CHF 1'500.-, émolument de décision compris. Vu l'issue de la cause, la conclusion relative au versement d'une indemnité valant participation équitable aux honoraires d'avocat des recourants sera rejetée (art. 433 al. 1 let. a CPP a contrario).</w:t>
      </w:r>
    </w:p>
    <w:p>
      <w:r>
        <w:rPr>
          <w:b/>
        </w:rPr>
        <w:t>E. 5</w:t>
      </w:r>
    </w:p>
    <w:p>
      <w:r>
        <w:t>Les intimés, prévenus, concluent à l'allocation d'une juste indemnité valant participation à leurs frais d'avocat.</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w:t>
      </w:r>
    </w:p>
    <w:p>
      <w:r>
        <w:t>- 10/12 - P/15225/2018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La Chambre de céans retient, en principe, un tarif horaire de CHF 400.- pour un chef d'étude (ACPR/74/2019 du 22 janvier 2019 ainsi que les références citées dans cet arrêt).</w:t>
      </w:r>
    </w:p>
    <w:p>
      <w:r>
        <w:rPr>
          <w:b/>
        </w:rPr>
        <w:t>E. 5.2</w:t>
      </w:r>
    </w:p>
    <w:p>
      <w:r>
        <w:t>En l'espèce, les intimés, assistés d'un avocat, ont droit à une indemnité pour leurs frais de défense relatifs à la procédure de recours, qu'ils ne chiffrent toutefois pas. Au vu du travail accompli, à savoir onze pages d'observations, dont une page de garde et trois pages et demi en droit, la rédaction d'un courrier sollicitant l'octroi d'un délai pour répliquer, et trois pages et demi de réplique avec un chargé de pièces, ainsi que du degré de difficulté des questions litigieuses, six heures d'activité au tarif horaire de CHF 400.- apparaissent justifiées. Ce sera ainsi une indemnité de CHF 2'400.-, TVA de 7,7% en sus, qui leur sera allouée au titre de l'exercice raisonnable de leurs droits de procédure, à charge de l'État.</w:t>
      </w:r>
    </w:p>
    <w:p>
      <w:r>
        <w:t>* * * * *</w:t>
      </w:r>
    </w:p>
    <w:p>
      <w:r>
        <w:t>- 11/12 - P/15225/2018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