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ACPR/157/2022 vom 7. März 2022</w:t>
      </w:r>
    </w:p>
    <w:p>
      <w:r>
        <w:t>GE Cour de justice, 2022-03-07, FR</w:t>
      </w:r>
    </w:p>
    <w:p>
      <w:r>
        <w:rPr>
          <w:b/>
        </w:rPr>
        <w:t xml:space="preserve">Quelle: </w:t>
      </w:r>
      <w:r>
        <w:t>https://mcp.opencaselaw.ch/entscheid/ge_gerichte_ACPR_157_2022</w:t>
      </w:r>
    </w:p>
    <w:p>
      <w:r>
        <w:t>FR: GE_GERICHTE ACPR/157/2022 du 7 mars 2022</w:t>
      </w:r>
    </w:p>
    <w:p>
      <w:r>
        <w:t>IT: GE_GERICHTE ACPR/157/2022 del 7 marzo 2022</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(art. 85 al. 2 CPP)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Dans sa missive adressée à la Chambre de céans le 3 décembre 2021 – bien après l'échéance du délai de recours au demeurant – A______ dénonce une agression dont il aurait été victime par son voisin le 24 novembre 2021. Ces faits nouveaux – exorbitants au présent recours – font l'objet d'un autre complexe de faits, sur lequel le Ministère public ne s'est pas prononcé. Aucune décision à cet égard, susceptible d'être attaquée par-devant la Chambre de céans, n'a été rendue. Il n'y a donc pas lieu de statuer sur ce point.</w:t>
      </w:r>
    </w:p>
    <w:p>
      <w:r>
        <w:rPr>
          <w:b/>
        </w:rPr>
        <w:t>E. 4</w:t>
      </w:r>
    </w:p>
    <w:p>
      <w:r>
        <w:t>En substance, le recourant reproche au Ministère public de ne pas être entré en matière sur sa plainte.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w:t>
      </w:r>
    </w:p>
    <w:p>
      <w:r>
        <w:t>- 5/8 - P/19745/2021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 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4.2</w:t>
      </w:r>
    </w:p>
    <w:p>
      <w:r>
        <w:t>À teneur de l'art. 126 al. 1 CP, sera puni celui qui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 Les voies de fait ne peuvent pas être commises par négligence (A. MACALUSO / L. MOREILLON / N. QUELOZ (éds), Commentaire Romand, Code pénal II, 2017, Lausanne, n. 6 ad. art. 52).</w:t>
      </w:r>
    </w:p>
    <w:p>
      <w:r>
        <w:rPr>
          <w:b/>
        </w:rPr>
        <w:t>E. 4.3</w:t>
      </w:r>
    </w:p>
    <w:p>
      <w:r>
        <w:t>En l'espèce, les parties s'accordent à dire que le mis en cause a "touché" le mollet du recourant avec la roue avant de sa moto. Le plaignant ne déplore aucune lésion corporelle. Tout au plus, l'infraction de voies de fait pourrait entrer en considération; toutefois les déclarations des parties divergent quant au caractère intentionnel du geste incriminé. Lors de son audition, le mis en cause a déclaré qu'il s'agissait d'une maladresse liée à la difficulté de manœuvrer en présence du camion dans le chemin et qu'il n'avait jamais eu la volonté de blesser le plaignant.</w:t>
      </w:r>
    </w:p>
    <w:p>
      <w:r>
        <w:t>- 6/8 - P/19745/2021 À teneur du dossier, aucun élément de preuve objectif ne permet de privilégier une version plutôt qu'une autre et aucun acte d'enquête ne paraît susceptible d'apporter des éléments utiles quant au caractère intentionnel ou non du geste. Un des éléments constitutifs de l'infraction fait ainsi manifestement défaut (art. 310 al. 1 let. a CPP) et l'analyse du Ministère public sur ce point ne prête pas le flanc à la critique. En toute hypothèse, l'approche du Ministère public quant à l'applicabilité de l'art. 52 CP au cas d'espèce doit être suivie. À l'évidence, les parties sont en conflit depuis de nombreuses années et leurs rapports sont tendus; l'acte incriminé s'inscrit donc dans une continuité de querelles incessantes et ses conséquences sont peu importantes pour le recourant, lequel admet d'ailleurs ne pas avoir été blessé. Ainsi, l'acte dénoncé ne revêtait pas un degré de gravité telle qu'il faille le sanctionner pénalement. En vertu de ce qui précède, le Ministère public était fondé à renoncer à toute poursuite pénale en lien avec les évènements du 26 août 2021 (art. 310 al. 1 let. a et 310 al. 1 let. c cum art. 8 CPP).</w:t>
      </w:r>
    </w:p>
    <w:p>
      <w:r>
        <w:rPr>
          <w:b/>
        </w:rPr>
        <w:t>E. 5</w:t>
      </w:r>
    </w:p>
    <w:p>
      <w:r>
        <w:t>Justifiée, l'ordonnance querellée sera donc confirmée.</w:t>
      </w:r>
    </w:p>
    <w:p>
      <w:r>
        <w:rPr>
          <w:b/>
        </w:rPr>
        <w:t>E. 6</w:t>
      </w:r>
    </w:p>
    <w:p>
      <w:r>
        <w:t>Le recourant, qui succombe, supportera les frais envers l'État, qui seront fixés en totalité à CHF 900.- (art. 428 al. 1 CPP et 13 al. 1 du Règlement fixant le tarif des frais en matière pénale, RTFMP ; E 4 10.03), émolument de décision compris. * * * * *</w:t>
      </w:r>
    </w:p>
    <w:p>
      <w:r>
        <w:t>- 7/8 - P/19745/2021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