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ACPR/157/2020 vom 22. November 2019</w:t>
      </w:r>
    </w:p>
    <w:p>
      <w:r>
        <w:t>GE Cour de justice, 2019-11-22, FR</w:t>
      </w:r>
    </w:p>
    <w:p>
      <w:r>
        <w:rPr>
          <w:b/>
        </w:rPr>
        <w:t xml:space="preserve">Quelle: </w:t>
      </w:r>
      <w:r>
        <w:t>https://mcp.opencaselaw.ch/entscheid/ge_gerichte_ACPR_157_2020</w:t>
      </w:r>
    </w:p>
    <w:p>
      <w:r>
        <w:t>FR: GE_GERICHTE ACPR/157/2020 du 22 novembre 2019</w:t>
      </w:r>
    </w:p>
    <w:p>
      <w:r>
        <w:t>IT: GE_GERICHTE ACPR/157/2020 del 22 novembre 2019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20 al. 1 let. a, 135 al. 3 let. a et 393 al. 1 let. b CPP) et émaner du défenseur d'office, qui a qualité pour recourir (art. 16 al. 1 RAJ, 135 al. 3 let. a et 382 al. 1 CPP).</w:t>
      </w:r>
    </w:p>
    <w:p>
      <w:r>
        <w:rPr>
          <w:b/>
        </w:rPr>
        <w:t>E. 2</w:t>
      </w:r>
    </w:p>
    <w:p>
      <w:r>
        <w:t>Le recourant allègue la violation de son droit d'être entendu.</w:t>
      </w:r>
    </w:p>
    <w:p>
      <w:r>
        <w:t>- 4/5 - P/481/2013</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6B_124/2012 du 22 juin 2012 consid. 2.2; 6B_833/2015 du 30 août 2016 consid. 2.3; 6B_1008/2017 du 5 avril 2018 consid. 2.2).</w:t>
      </w:r>
    </w:p>
    <w:p>
      <w:r>
        <w:rPr>
          <w:b/>
        </w:rPr>
        <w:t>E. 2.2</w:t>
      </w:r>
    </w:p>
    <w:p>
      <w:r>
        <w:t>En l'espèce, le Tribunal de police a fixé l'indemnité à CHF 12'019.30, refusant certains postes. Cependant, le recourant, qui a déposé des états de frais pour un montant total de CHF 25'838.80, expose ne pas comprendre la différence de CHF 4'481.96 entre l'indemnité à laquelle il parvient après la réduction (soit CHF 16'501.26) et celle octroyée par le premier juge. "De deux choses l'une" selon lui, le Tribunal a commis une erreur de calcul soit il a violé son droit d'être entendu en n'expliquant pas cette réduction supplémentaire. Force est de constater que la Chambre de céans n'est pas en mesure de reconstituer l'état de frais retenu pas le Tribunal faute d'une motivation (cinq lignes pour un état de frais détaillé de huit pages) ne se référant pas à des postes précis de ladite note. À titre d'exemple, "les prestations effectuées à double" ne sont pas détaillées de sorte que l'on ignore desquelles il s'agit et, si l'on suppose qu'il est question d'activités faites en commun par le chef d'étude et l'avocat-stagiaire, il n'est pas précisé lesquelles. Le Tribunal arrête également les prestations en lien avec "le" recours à 4h30 alors que la note de frais fait état de deux recours (32h40). Outre qu'il n'appartient pas à la Chambre de céans de supputer ce qu'aurait voulu dire le Tribunal, le respect du double degré de juridiction conduit à annuler la décision querellée et à renvoyer la procédure d'indemnisation du défenseur d'office au premier juge.</w:t>
      </w:r>
    </w:p>
    <w:p>
      <w:r>
        <w:rPr>
          <w:b/>
        </w:rPr>
        <w:t>E. 3</w:t>
      </w:r>
    </w:p>
    <w:p>
      <w:r>
        <w:t>Fondé, le recours sera donc admis.</w:t>
      </w:r>
    </w:p>
    <w:p>
      <w:r>
        <w:rPr>
          <w:b/>
        </w:rPr>
        <w:t>E. 4</w:t>
      </w:r>
    </w:p>
    <w:p>
      <w:r>
        <w:t>L'admission du recours ne donne pas lieu à la perception de frais (art. 428 al. 1 CPP).</w:t>
      </w:r>
    </w:p>
    <w:p>
      <w:r>
        <w:rPr>
          <w:b/>
        </w:rPr>
        <w:t>E. 5</w:t>
      </w:r>
    </w:p>
    <w:p>
      <w:r>
        <w:t>Le recourant, qui obtient gain de cause, n'a pas conclu à l'octroi de dépens.</w:t>
      </w:r>
    </w:p>
    <w:p>
      <w:r>
        <w:t>- 5/5 - P/481/2013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