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ACPR/155/2026 vom 11. Februar 2026</w:t>
      </w:r>
    </w:p>
    <w:p>
      <w:r>
        <w:t>GE Cour de justice, 2026-02-11, FR</w:t>
      </w:r>
    </w:p>
    <w:p>
      <w:r>
        <w:rPr>
          <w:b/>
        </w:rPr>
        <w:t xml:space="preserve">Quelle: </w:t>
      </w:r>
      <w:r>
        <w:t>https://mcp.opencaselaw.ch/entscheid/ge_gerichte_ACPR_155_2026</w:t>
      </w:r>
    </w:p>
    <w:p>
      <w:r>
        <w:t>FR: GE_GERICHTE ACPR/155/2026 du 11 février 2026</w:t>
      </w:r>
    </w:p>
    <w:p>
      <w:r>
        <w:t>IT: GE_GERICHTE ACPR/155/2026 del 11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 caractère suffisant et grave des charges, de sorte qu'il peut, sans autre, être renvoyé aux considérants des ordonnances du TMC sur ce point (art. 82 al. 4 CPP; ATF 123 I 31 consid. 2c; arrêts du Tribunal fédéral 7B_577/2023 du 31 octobre 2023 consid. 5.2.2. et 1B 378/2019 du 19 août 2019 consid. 2). Il sera toutefois rappelé que, comme justement retenu par le TMC dans l'ordonnance querellée, la question d'une éventuelle légitime défense n'entre pas en ligne de compte au stade de l'examen des charges par le juge de la détention, cette question devant être tranchée par le juge du fond (arrêt du Tribunal fédéral 1B_231/2019 du 4 juin 2019 consid. 3; ACPR/471/2022 du 6 juillet 2022).</w:t>
      </w:r>
    </w:p>
    <w:p>
      <w:r>
        <w:rPr>
          <w:b/>
        </w:rPr>
        <w:t>E. 3</w:t>
      </w:r>
    </w:p>
    <w:p>
      <w:r>
        <w:t>Le recourant conteste l'existence d'un risque de fuite, lequel pourrait selon lui être pallié par le dépôt d'une caution de CHF 5'000.-.</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w:t>
      </w:r>
    </w:p>
    <w:p>
      <w:r>
        <w:t>- 9/14 - P/18459/2025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3.3</w:t>
      </w:r>
    </w:p>
    <w:p>
      <w:r>
        <w:t>En l'espèce, le recourant est originaire d'Algérie, sans un quelconque titre de séjour, démuni de tout document d'identité – ce qui ne l'a toutefois pas empêché de se rendre en Europe depuis son pays d'origine – et vivrait chez sa grand-mère maternelle à K______ (France). Il n'a pas de travail régulier ni revenu fixe. Il a certes une compagne et une petite fille âgée de quelques mois. Toutes deux vivent à Genève, chez les parents de celle-là, et n'ont donc pas de logement propre. Des dires de la mère et de la sœur de cette jeune femme, le recourant n'est venu au domicile familial que deux ou trois fois, ce qui démontre le peu de consistance des liens qu'il entretient avec cette famille. Il ne va à la rencontre de sa fille et de sa compagne qu'en bas de l'immeuble. Ainsi, quand bien même il n'est pas remis en doute qu'il souhaite entretenir des liens avec sa fille et a pour projet de se marier avec sa compagne, la relation des intéressés telle qu'elle se présente pourrait tout aussi bien se dérouler en France voisine. Aussi, la présence de deux proches du recourant – sa compagne et sa fille – à Genève n'est pas un gage qu'il ne prenne la fuite, pas seulement vers son pays d'origine, où vit tout le reste de sa famille, mais aussi et surtout entre dans la clandestinité, que ce soit en Suisse ou en France. La gravité certaine des charges pesant à son encontre, en particulier les lésions corporelles graves, l'annonce de l’audience de jugement – fixée au ______ juin 2026 devant le Tribunal correctionnel – et la perspective d’une expulsion sont des facteurs augmentant le risque de se soustraire à la poursuite. On ne voit dans ces conditions pas</w:t>
      </w:r>
    </w:p>
    <w:p>
      <w:r>
        <w:t>- 10/14 - P/18459/2025 en quoi la caution, proposée– non par lui-même, sur ses gains présumés, mais sur les économies de sa grand-mère –, serait une incitation suffisante pour comparaître, non plus à une audience d’instruction, mais de jugement, où il encourt une peine privative de liberté qui contrecarrerait ses projets matrimoniaux. Dans ces circonstances, un passage dans la clandestinité, voire une fuite en France ou en Italie, pays par lequel il a transité, ou un retour en Algérie, constituent une hypothèse très vraisemblable en cas de libération. Le versement d'une caution, qui ne provient pas de ses deniers et représentant selon ses dires tout au plus environ cinq mois de ses revenus au noir, qui plus est en l'absence de tout document d'identité dont le dépôt ne peut donc être exigé, ou la présentation à un poste de police ne présentent aucune garantie (ATF 145 IV 503 consid. 3.2 p. 510 et 3.3 p. 511 s.). Il se justifie dès lors de maintenir le prévenu en détention afin de s'assurer de sa présence au procès et de garantir l'exécution de la peine et de la mesure d'expulsion qui seront le cas échéant prononcées.</w:t>
      </w:r>
    </w:p>
    <w:p>
      <w:r>
        <w:rPr>
          <w:b/>
        </w:rPr>
        <w:t>E. 4</w:t>
      </w:r>
    </w:p>
    <w:p>
      <w:r>
        <w:t>Le recourant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quand bien même le recourant essaie d'en donner une version différente de celle retenue par le TMC, la Chambre de céans retient de ses déclarations en audience de confrontation, le 14 novembre 2025, qu'il a bien cherché à influencer la victime afin qu'elle retire sa plainte. Le fait de dire à la victime, âgée de six ans de moins que lui et également originaire d'Algérie les propos transcrits sous let. B.i.b. supra n'a pu être ressenti autrement que comme un moyen de pression sur elle de nature à compromettre la recherche de la vérité.</w:t>
      </w:r>
    </w:p>
    <w:p>
      <w:r>
        <w:t>- 11/14 - P/18459/2025 Il serait illusoire, face à un tel comportement et dans les circonstances du cas d'espèce, où la version de la victime est censée encore être recueillie par les juges du fond, d'attendre du recourant – et d'être en mesure de contrôler – qu'il ne prenne pas contact, de quelque manière que ce soit, avec la victime. Une telle interdiction de contact serait donc vaine. Aucune mesure de substitution n'est donc à même de pallier ce risque patent de collusion.</w:t>
      </w:r>
    </w:p>
    <w:p>
      <w:r>
        <w:rPr>
          <w:b/>
        </w:rPr>
        <w:t>E. 5</w:t>
      </w:r>
    </w:p>
    <w:p>
      <w:r>
        <w:t>Le recourant soutient que la détention avant jugement serait disproportionnée, dans la mesure où, si la détention pour des motifs de sûreté était acceptée, il aurait été détenu environ 10 mois au jour de l'audience de jugement.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le recourant a été arrêté le 19 août 2025. La procédure n'a pas connu de temps mort et il a été renvoyé en jugement moins de cinq mois plus tard (cf. acte d'accusation du 12 janvier 2026). Comme on l'a vu, la phase procédurale du renvoi en jugement n'atténue ni le risque de fuite, ni le risque de collusion, au contraire. Au vu de la gravité des faits, et quand bien même le recourant entend plaider un état de légitime défense en lien avec les lésions corporelles graves, il apparaît qu'une audience du Tribunal correctionnel, fixée dans cinq mois, alors qu'il doit demeurer détenu, n'affecte en rien le principe de la proportionnalité.</w:t>
      </w:r>
    </w:p>
    <w:p>
      <w:r>
        <w:rPr>
          <w:b/>
        </w:rPr>
        <w:t>E. 6</w:t>
      </w:r>
    </w:p>
    <w:p>
      <w:r>
        <w:t>Le recours s'avère ainsi infondé et doit être rejeté.</w:t>
      </w:r>
    </w:p>
    <w:p>
      <w:r>
        <w:rPr>
          <w:b/>
        </w:rPr>
        <w:t>E. 7</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w:t>
      </w:r>
    </w:p>
    <w:p>
      <w:r>
        <w:t>- 12/14 - P/18459/2025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