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ACPR/154/2020 vom 26. November 2019</w:t>
      </w:r>
    </w:p>
    <w:p>
      <w:r>
        <w:t>GE Cour de justice, 2019-11-26, FR</w:t>
      </w:r>
    </w:p>
    <w:p>
      <w:r>
        <w:rPr>
          <w:b/>
        </w:rPr>
        <w:t xml:space="preserve">Quelle: </w:t>
      </w:r>
      <w:r>
        <w:t>https://mcp.opencaselaw.ch/entscheid/ge_gerichte_ACPR_154_2020</w:t>
      </w:r>
    </w:p>
    <w:p>
      <w:r>
        <w:t>FR: GE_GERICHTE ACPR/154/2020 du 26 novembre 2019</w:t>
      </w:r>
    </w:p>
    <w:p>
      <w:r>
        <w:t>IT: GE_GERICHTE ACPR/154/2020 del 26 novembre 2019</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décision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t>- 5/10 - P/7072/2019</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fait grief au Ministère public de ne pas avoir retenu l'infraction de tentative de contrainte.</w:t>
      </w:r>
    </w:p>
    <w:p>
      <w:r>
        <w:rPr>
          <w:b/>
        </w:rPr>
        <w:t>E. 3.1</w:t>
      </w:r>
    </w:p>
    <w:p>
      <w:r>
        <w:t>Selon l'art. 310 al. 1 let. a CPP, le Ministère public rend immédiatement une ordonnance de non-entrée en matière s'il ressort de la dénonciation ou du rapport de police que les éléments constitutifs de l'infraction ou des conditions à l'ouverture de l'action pénale ne sont manifestement pas réunis.</w:t>
      </w:r>
    </w:p>
    <w:p>
      <w:r>
        <w:rPr>
          <w:b/>
        </w:rPr>
        <w:t>E. 3.2</w:t>
      </w:r>
    </w:p>
    <w:p>
      <w:r>
        <w:t>Le principe in dubio pro duriore découle du principe de la légalité (art. 5 al. 1 Cst. et 2 al. 2 CPP en relation avec les art. 19 al. 1 et 324 CPP ; ATF 138 IV 86 consid. 4.2).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 137 IV 285 consid. 2.5 ; arrêt du Tribunal fédéral 1B_112/2012 du 6 décembre 2012).</w:t>
      </w:r>
    </w:p>
    <w:p>
      <w:r>
        <w:rPr>
          <w:b/>
        </w:rPr>
        <w:t>E. 3.3</w:t>
      </w:r>
    </w:p>
    <w:p>
      <w:r>
        <w:t>Une non-entrée en matière s'impose également lorsque le litige est de nature purement civile (ATF 137 IV 285 consid. 2.3).</w:t>
      </w:r>
    </w:p>
    <w:p>
      <w:r>
        <w:rPr>
          <w:b/>
        </w:rPr>
        <w:t>E. 4.1</w:t>
      </w:r>
    </w:p>
    <w:p>
      <w:r>
        <w:t>Se rend coupable de contrainte selon l'art. 181 CP celui qui, en usant de violence envers une personne ou en la menaçant d'un dommage sérieux, ou en l'entravant de quelque autre manière dans sa liberté d'action, l'aura obligée à faire, ne pas faire ou à laisser faire un acte.</w:t>
      </w:r>
    </w:p>
    <w:p>
      <w:r>
        <w:rPr>
          <w:b/>
        </w:rPr>
        <w:t>E. 4.2</w:t>
      </w:r>
    </w:p>
    <w:p>
      <w:r>
        <w:t>La menace est un moyen de pression psychologique consistant à annoncer un dommage futur dont la réalisation est présentée comme dépendante de la volonté de l'auteur, sans toutefois qu'il soit nécessaire que cette dépendance soit effective (ATF 117 IV 445 consid. 2b;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1a; 120 IV 17 consid. 2a/aa). Cette exigence vise à fixer un</w:t>
      </w:r>
    </w:p>
    <w:p>
      <w:r>
        <w:t>- 6/10 - P/7072/2019 degré minimum pour qu'un dommage soit sérieux, étant entendu que tout dommage n'atteignant pas ce degré de sérieux serait sans pertinence pour une contrainte. Il est, en effet, très difficile d'évaluer le degré de sensibilité d'une personne au cas par cas, raison pour laquelle la fixation d'un critère objectif le rend valable pour tous, quel que soit le degré de sensibilité effectif (arrêt du Tribunal fédéral 6B_378/2016 du 15 décembre 2016 consid. 2.2). On admet ainsi que la menace du dépôt d'une plainte pénale (ATF 120 IV 17 consid. 2aa) ou l'envoi d'un commandement de payer d'une importante somme d'argent (arrêt du Tribunal fédéral 6B_1188/2017 du 5 juin 2018 consid. 3.1) constituent la menace d'un dommage sérieux.</w:t>
      </w:r>
    </w:p>
    <w:p>
      <w:r>
        <w:rPr>
          <w:b/>
        </w:rPr>
        <w:t>E. 4.3</w:t>
      </w:r>
    </w:p>
    <w:p>
      <w:r>
        <w:t>Lorsque la victime ne se laisse pas intimider et n'adopte pas le comportement voulu par l'auteur, ce dernier est punissable de tentative de contrainte (art. 22 al. 1 CP; ATF 129 IV 262 consid. 2.7; 106 IV 125 consid. 2b). Pour qu'il y ait tentative de contrainte, il faut que l'auteur ait agi avec conscience et volonté, soit au moins qu'il ait accepté l'éventualité que le procédé illicite employé entrave le destinataire dans sa liberté de décision (ATF 120 IV 17 consid. 2c).</w:t>
      </w:r>
    </w:p>
    <w:p>
      <w:r>
        <w:rPr>
          <w:b/>
        </w:rPr>
        <w:t>E. 4.4</w:t>
      </w:r>
    </w:p>
    <w:p>
      <w:r>
        <w:t>En application de ces principes, le Tribunal fédéral a retenu que la notification de trois commandements de payer d'un montant de CHF 910'000.- chacun, ne reposant sur aucune créance valable, notifiés à des dirigeants d'une société avec laquelle l'auteur se trouvait en litige et portant, comme cause de l'obligation, une référence à un courrier du ministère public envoyé dans le cadre d'une procédure pénale, était constitutive d'une tentative de contrainte (arrêt du Tribunal fédéral 6B_8/2017 du 15 août 2017 consid. 2.2; cf. également les faits à la base de l'arrêt du Tribunal fédéral 6S.853/2000 du 9 mai 2001). Il en allait de même de la notification d'un commandement de payer de plus de CHF 800'000.-, somme qualifiée d'exorbitante par la Chambre pénale d'appel et de révision, ceci plus de 13 ans après les faits et sans démarches judiciaires parallèles (arrêt du Tribunal fédéral 6B_153/2017 du 28 novembre 2017 consid. 3.2.2). Aussi, un commandement de payer de plus de CHF 600'000.-, représentant les loyers de la totalité du contrat de bail conclu pour une durée de 10 ans, précédé d'un courrier électronique proposant un règlement amiable du litige pour une somme moindre, sous peine de poursuites, de saisie de salaire en mains de l'employeur voire d'action en justice, sans suite donnée au refus de la mainlevée de l'opposition, constitue un moyen de pression abusif (arrêt du Tribunal fédéral 6B_378/2016 précité consid. 2.3). Sur cette base, la Chambre de céans a également retenu que faire l'objet d'un commandement de payer de CHF 176'250.- constitue, pour une personne de sensibilité moyenne, une menace d'un dommage sérieux au sens de la jurisprudence (ACPR/468/2018 du 24 août 2018 consid. 3.3.).</w:t>
      </w:r>
    </w:p>
    <w:p>
      <w:r>
        <w:t>- 7/10 - P/7072/2019 Ainsi, le fondement de la créance invoquée, le montant indiqué sur le commandement de payer et le contexte de sa notification sont autant d'éléments pertinents dans l'appréciation des circonstances du cas d'espèce (cf. R. JORDAN, Les poursuites injustifiées: point de situation, in Revue de l'avocat 2017 p. 131 s. et les arrêts cités).</w:t>
      </w:r>
    </w:p>
    <w:p>
      <w:r>
        <w:rPr>
          <w:b/>
        </w:rPr>
        <w:t>E. 4.5</w:t>
      </w:r>
    </w:p>
    <w:p>
      <w:r>
        <w:t>En l'espèce, la recourante ne s'est pas laissée intimider par le commandement de payer litigieux, puisqu'elle y a fait opposition et ne s'est pas acquittée de la somme réclamée, si bien que seule une tentative de contrainte (art. 22 al. 1 cum 181 CP) pourrait entrer en considération. Le montant du commandement de payer qui lui a été notifié pour un montant total de CHF 4'050'000.- est susceptible de constituer, objectivement, une entrave à sa liberté d'action. Reste toutefois à examiner si, en application des critères susmentionnés, cette démarche était en l'occurrence illicite, soit que le moyen utilisé ou le but poursuivi étaient contraires au droit, soit que le procédé constituait un moyen de pression abusif. Premièrement, le moyen utilisé – soit la notification d'un commandement de payer – est conforme à la Loi fédérale sur la poursuite pour dettes et la faillite du 11 avril 1889 (LP; RS 281.1). Quant au but poursuivi, les éléments du dossier ne permettent pas de penser que la mise en cause ne serait pas de bonne foi quant à l'existence d'une créance contre la recourante. En effet, le contrat prévoyait une commission de 3%. La mise en cause a présenté une personne intéressée au sens de cette convention. La recourante a accepté l'offre de CHF 178'000'000.-, proposée par le repreneur présenté par B______ SA. Par conséquent, cette dernière pouvait, à ce stade, légitimement croire que la commission prévue lui était due. Dès lors qu'en résiliant le contrat et en ne s'acquittant pas de la facture, la recourante a manifesté son intention de ne pas payer la commission, la mise en cause était fondée a priori à en réclamer le paiement par la voie – légale – de la poursuite pour dettes. Le fait que la recourante et H______ SA n'aient finalement pas conclu d'accord n'est pas pertinent pour juger de la bonne foi de B______ SA au moment de la notification du commandement de payer, dans la mesure où cette dernière n'a été au courant de ce fait que postérieurement à sa réquisition de poursuite. Il existe donc, sur le plan pénal, un lien suffisant entre la créance invoquée par la mise en cause et le montant réclamé – sans qu'il n'appartienne aux autorités pénales de décider si une commission était fondée et exigible, cette question étant de nature civile –. Au regard de ce qui précède, les actes d'enquêtes sollicités n'apparaissent pas susceptibles d'apporter d'élément probant complémentaire, car l'on ne voit pas pour</w:t>
      </w:r>
    </w:p>
    <w:p>
      <w:r>
        <w:t>- 8/10 - P/7072/2019 quelles raisons les parties modifieraient leurs versions, ni ce que les auditions d'autres personnes impliquées dans le contrat conclu entre celles-là apporteraient, dans la mesure où la position de la société mise en cause a été clairement expliquée. Faute de prévention pénale suffisante, la décision querellée ne prête pas le flanc à la critique.</w:t>
      </w:r>
    </w:p>
    <w:p>
      <w:r>
        <w:rPr>
          <w:b/>
        </w:rPr>
        <w:t>E. 5</w:t>
      </w:r>
    </w:p>
    <w:p>
      <w:r>
        <w:t>La recourante reproche au Ministère public un déni de justice pour ne pas avoir examiné les faits dénoncés sous l'angle de l'art. 156 CP.</w:t>
      </w:r>
    </w:p>
    <w:p>
      <w:r>
        <w:rPr>
          <w:b/>
        </w:rPr>
        <w:t>E. 5.1</w:t>
      </w:r>
    </w:p>
    <w:p>
      <w:r>
        <w:t>Si l'autorité refuse de statuer sur une requête qui lui a été adressée, soit en l'ignorant purement et simplement, soit en refusant d'entrer en matière, elle commet un déni de justice formel (ACPR/187/2012 du 8 mai 2012 ; G. PIQUEREZ/ A. MACALUSO, Procédure pénale suisse : Manuel, 3e éd., Zurich 2011, n. 187).</w:t>
      </w:r>
    </w:p>
    <w:p>
      <w:r>
        <w:rPr>
          <w:b/>
        </w:rPr>
        <w:t>E. 5.2</w:t>
      </w:r>
    </w:p>
    <w:p>
      <w:r>
        <w:t>Aux termes de l'art. 156 CP, l'extorsion punit celui qui, dans le dessein de se procurer ou de procurer à un tiers un enrichissement illégitime, aura déterminé une personne à des actes préjudiciables à ses intérêts pécuniaires ou à ceux d'un tiers, en usant de violence ou en la menaçant d'un dommage sérieux.</w:t>
      </w:r>
    </w:p>
    <w:p>
      <w:r>
        <w:rPr>
          <w:b/>
        </w:rPr>
        <w:t>E. 5.3</w:t>
      </w:r>
    </w:p>
    <w:p>
      <w:r>
        <w:t>La doctrine précise au sujet du dessein d'enrichissement illégitime que celui-ci fait défaut lorsque l'auteur est titulaire d'une créance à l'égard de la personne visée ou croit être titulaire d'une créance à son encontre. Dans un tel cas, seule la contrainte entre en ligne de compte (M. DUPUIS / L. MOREILLON / C. PIGUET / S. BERGER / M. MAZOU / V. RODIGARI (éds), Code pénal - Petit commentaire, 2e éd., Bâle 2017, n. 19 ad art. 156 CP et les références citées).</w:t>
      </w:r>
    </w:p>
    <w:p>
      <w:r>
        <w:rPr>
          <w:b/>
        </w:rPr>
        <w:t>E. 5.4</w:t>
      </w:r>
    </w:p>
    <w:p>
      <w:r>
        <w:t>En l'occurrence, dans sa décision litigieuse, le Ministère public n'a pas examiné les faits sous l'angle de l'art. 156 CP. Néanmoins, au regard de ce qui a été développé précédemment (cf. 4.5.) et conformément aux principes sus-rappelés, la tentative d'extorsion doit d'emblée être écartée. Le soupçon d'enrichissement illégitime est, en effet, nullement rendu vraisemblable. Partant, ce grief sera rejeté.</w:t>
      </w:r>
    </w:p>
    <w:p>
      <w:r>
        <w:rPr>
          <w:b/>
        </w:rPr>
        <w:t>E. 6</w:t>
      </w:r>
    </w:p>
    <w:p>
      <w:r>
        <w:t>Justifiée, la décision querellée sera donc confirmée.</w:t>
      </w:r>
    </w:p>
    <w:p>
      <w:r>
        <w:rPr>
          <w:b/>
        </w:rPr>
        <w:t>E. 7</w:t>
      </w:r>
    </w:p>
    <w:p>
      <w:r>
        <w:t>La recourante, qui succombe, supportera les frais envers l'État, qui seront fixés en totalité à CHF 1'000.- (art. 428 al. 1 CPP et 13 al. 1 du Règlement fixant le tarif des frais en matière pénale, RTFMP ; E 4 10.03). * * * * *</w:t>
      </w:r>
    </w:p>
    <w:p>
      <w:r>
        <w:t>- 9/10 - P/7072/2019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