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ACPR/151/2022 vom 29. Oktober 2021</w:t>
      </w:r>
    </w:p>
    <w:p>
      <w:r>
        <w:t>GE Cour de justice, 2021-10-29, FR</w:t>
      </w:r>
    </w:p>
    <w:p>
      <w:r>
        <w:rPr>
          <w:b/>
        </w:rPr>
        <w:t xml:space="preserve">Quelle: </w:t>
      </w:r>
      <w:r>
        <w:t>https://mcp.opencaselaw.ch/entscheid/ge_gerichte_ACPR_151_2022</w:t>
      </w:r>
    </w:p>
    <w:p>
      <w:r>
        <w:t>FR: GE_GERICHTE ACPR/151/2022 du 29 octobre 2021</w:t>
      </w:r>
    </w:p>
    <w:p>
      <w:r>
        <w:t>IT: GE_GERICHTE ACPR/151/2022 del 29 ottobre 2021</w:t>
      </w:r>
    </w:p>
    <w:p>
      <w:pPr>
        <w:pStyle w:val="Heading2"/>
      </w:pPr>
      <w:r>
        <w:t>Erwägungen</w:t>
      </w:r>
    </w:p>
    <w:p>
      <w:r>
        <w:rPr>
          <w:b/>
        </w:rPr>
        <w:t>E. 1</w:t>
      </w:r>
    </w:p>
    <w:p>
      <w:r>
        <w:t>Dans la mesure où la cause ne porte pas exclusivement sur une contravention, au sens de l'art. 395 let. a CPP, la Chambre de céans statuera dans sa composition habituelle, c'est-à-dire à trois magistrats (art. 127 LOJ; ACPR/163/2015 du 19 mars 2015).</w:t>
      </w:r>
    </w:p>
    <w:p>
      <w:r>
        <w:t>- 3/6 - PS/53/2021</w:t>
      </w:r>
    </w:p>
    <w:p>
      <w:r>
        <w:rPr>
          <w:b/>
        </w:rPr>
        <w:t>E. 2</w:t>
      </w:r>
    </w:p>
    <w:p>
      <w:r>
        <w:t>La Chambre pénale de recours peut décider d'emblée de traiter sans échange d'écritures ni débats les actes manifestement irrecevables ou infondés (art. 390 al. 2 et 5 a contrario CPP). Tel est le cas en l'occurrence, au vu des considérations qui suivent.</w:t>
      </w:r>
    </w:p>
    <w:p>
      <w:r>
        <w:rPr>
          <w:b/>
        </w:rPr>
        <w:t>E. 3</w:t>
      </w:r>
    </w:p>
    <w:p>
      <w:r>
        <w:t>Le recours est ouvert contre une décision de séquestre ordonnée en vue de confiscation par le SdC (art. 263 al. 1 let. d et 393 al. 1 let. a CPP; art. 11 al. 1 et 2 de la Loi genevoise d'application du code pénal suisse et d'autres lois fédérales en matière pénale [E 4 10] cum art. 357 al. 1 CPP). Tel n'est, en revanche, pas le cas contre une décision de confiscation, qui doit être contestée, lorsqu'elle est prononcée dans une ordonnance pénale (art. 353 al. 1 let. h CPP), par la voie de l'opposition (art. 354 al. 1 et 357 al. 2 CPP).</w:t>
      </w:r>
    </w:p>
    <w:p>
      <w:r>
        <w:rPr>
          <w:b/>
        </w:rPr>
        <w:t>E. 4</w:t>
      </w:r>
    </w:p>
    <w:p>
      <w:r>
        <w:t>Le recourant requiert la levée du séquestre de la drogue.</w:t>
      </w:r>
    </w:p>
    <w:p>
      <w:r>
        <w:rPr>
          <w:b/>
        </w:rPr>
        <w:t>E. 4.1</w:t>
      </w:r>
    </w:p>
    <w:p>
      <w:r>
        <w:t>Selon l'art. 263 al. 1 CPP, des objets peuvent être mis sous séquestre lorsqu'il est probable qu'ils seront utilisés comme moyens de preuve (let. a) ou comme garantie de paiement (let. b) ou lorsqu'ils devront être confisqués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2ème éd., Bâle 2019, n. 17/22 ad art. 263). Le SdC est compétent, en cas de contravention, pour recevoir les objets et les valeurs patrimoniales saisis par la police, lorsqu'il y a péril en la demeure, et ordonner leur séquestre, puisqu'il possède alors les mêmes attributions que le ministère public (art. 11 al. 1 et 2 de la Loi genevoise d'application du code pénal suisse et d'autres lois fédérales en matière pénale (E 4 10) et art. 357 al. 1 CPP ; ACPR/541/2012 du 28 novembre 2012).</w:t>
      </w:r>
    </w:p>
    <w:p>
      <w:r>
        <w:t>- 4/6 - PS/53/2021</w:t>
      </w:r>
    </w:p>
    <w:p>
      <w:r>
        <w:rPr>
          <w:b/>
        </w:rPr>
        <w:t>E. 4.2</w:t>
      </w:r>
    </w:p>
    <w:p>
      <w:r>
        <w:t>À teneur de l'art. 19a LStup, celui qui, sans droit, aura consommé intentionnellement des stupéfiants ou celui qui aura commis une infraction à l’art. 19 LStup pour assurer sa propre consommation est passible de l’amende. L'art. 19 al. 1 let. b LStup punit celui qui, sans droit, entrepose, expédie, transporte, importe, exporte des stupéfiants ou les passe en transit.</w:t>
      </w:r>
    </w:p>
    <w:p>
      <w:r>
        <w:rPr>
          <w:b/>
        </w:rPr>
        <w:t>E. 4.3</w:t>
      </w:r>
    </w:p>
    <w:p>
      <w:r>
        <w:t>En l'espèce, au vu des dispositions légales précitées et des explications transmises par le SdC, il existe un soupçon suffisant, en l'état, de la commission d'une infraction. Il s'agit, en effet, selon toute apparence de graines de cannabis prohibé importées en Suisse. L'art. 24 al. 2 LStup précise que les autorités compétentes mettent en sûreté les stupéfiants qui leur sont confiés en exécution de la présente loi et pourvoient à leur valorisation ou à leur destruction. Partant, le séquestre conservatoire a été valablement ordonné et il appartiendra à l'autorité saisie de l'opposition à l'ordonnance pénale, soit le SdC, puis éventuellement le Tribunal de police, de statuer sur la question de l'infraction, sur la confiscation et la destruction, ou non, des substances saisies.</w:t>
      </w:r>
    </w:p>
    <w:p>
      <w:r>
        <w:rPr>
          <w:b/>
        </w:rPr>
        <w:t>E. 5</w:t>
      </w:r>
    </w:p>
    <w:p>
      <w:r>
        <w:t>Justifiée, l'ordonnance querellée sera donc confirmée.</w:t>
      </w:r>
    </w:p>
    <w:p>
      <w:r>
        <w:rPr>
          <w:b/>
        </w:rPr>
        <w:t>E. 6</w:t>
      </w:r>
    </w:p>
    <w:p>
      <w:r>
        <w:t>Le recourant, qui succombe, supportera les frais envers l'État, arrêtés au total à CHF 250.- (art. 428 al. 1 CPP et 13 al. 1 du Règlement fixant le tarif des frais en matière pénale, RTFMP ; E 4 10.03). * * * * *</w:t>
      </w:r>
    </w:p>
    <w:p>
      <w:r>
        <w:t>- 5/6 - PS/53/2021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