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ACPR/14/2026 vom 7. Januar 2026</w:t>
      </w:r>
    </w:p>
    <w:p>
      <w:r>
        <w:t>GE Cour de justice, 2026-01-07, FR</w:t>
      </w:r>
    </w:p>
    <w:p>
      <w:r>
        <w:rPr>
          <w:b/>
        </w:rPr>
        <w:t xml:space="preserve">Quelle: </w:t>
      </w:r>
      <w:r>
        <w:t>https://mcp.opencaselaw.ch/entscheid/ge_gerichte_ACPR_14_2026</w:t>
      </w:r>
    </w:p>
    <w:p>
      <w:r>
        <w:t>FR: GE_GERICHTE ACPR/14/2026 du 7 janvier 2026</w:t>
      </w:r>
    </w:p>
    <w:p>
      <w:r>
        <w:t>IT: GE_GERICHTE ACPR/14/2026 del 7 gennaio 2026</w:t>
      </w:r>
    </w:p>
    <w:p>
      <w:pPr>
        <w:pStyle w:val="Heading2"/>
      </w:pPr>
      <w:r>
        <w:t>Erwägungen</w:t>
      </w:r>
    </w:p>
    <w:p>
      <w:r>
        <w:rPr>
          <w:b/>
        </w:rPr>
        <w:t>E. 1</w:t>
      </w:r>
    </w:p>
    <w:p>
      <w:r>
        <w:t>Partie à la procédure P/1______/2021 en tant que plaignante (art. 104 al. 1 let. b CPP), la requérante a qualité pour agir (art. 58 al. 1 CPP), et la Chambre de céans, siégeant dans la composition de trois juges (art. 127 LOJ), est compétente pour connaître de sa requête, dirigée contre un magistrat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Lorsque seule l'accumulation de plusieurs incidents fonde l'apparence d'une prévention, il doit être tenu compte, dans l'examen de l'éventuel caractère tardif d'une</w:t>
      </w:r>
    </w:p>
    <w:p>
      <w:r>
        <w:t>- 8/13 - PS/79/2025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7B_1296/2024 du 15 avril 2025 consid. 2.2.2; 7B_259/2023 du 20 janvier 2025 consid. 6.2.2 et les arrêts cités).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7B_832/2024 du 31 décembre 2024 consid. 3.2.4; 7B_598/2024 du 5 novembre 2024 consid. 6.2.4 et les arrêts cités).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suivait pas le cours désiré (arrêts 7B_260/2023 du 20 janvier 2025 consid. 6.2.2; 1B_163/2022 du 27 février 2023 consid. 3.1 et les arrêts cités dont ATF 143 V 66 consid. 4.3 et 139 III 120 consid. 3.2.1).</w:t>
      </w:r>
    </w:p>
    <w:p>
      <w:r>
        <w:rPr>
          <w:b/>
        </w:rPr>
        <w:t>E. 2.2</w:t>
      </w:r>
    </w:p>
    <w:p>
      <w:r>
        <w:t>En l'espèce, la requérante reproche au cité plusieurs comportements antérieurs à l'audience du 27 octobre 2025 et à son courrier du 31 suivant, lesquels seraient l'occurrence ultime, qui dénoteraient chez lui une prévention. Sa requête expédiée le</w:t>
      </w:r>
    </w:p>
    <w:p>
      <w:r>
        <w:rPr>
          <w:b/>
        </w:rPr>
        <w:t>E. 3</w:t>
      </w:r>
    </w:p>
    <w:p>
      <w:r>
        <w:t>novembre 2025 n'apparaît ainsi pas tardive et, partant, est recevable.</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w:t>
      </w:r>
    </w:p>
    <w:p>
      <w:r>
        <w:t>- 9/13 - PS/79/2025 Seules les circonstances constatées objectivement doivent être prises en considération. Les impressions purement individuelles d'une des parties au procès ne sont pas décisives (ATF 143 IV 69 consid. 3.2 p. 74 ; 138 IV 142 consid. 2.1; 134 I 20 consid. 4.2; 131 I 24 consid. 1.1; 127 I 196 consid. 2b; arrêt du Tribunal fédéral 1B_568/2011 du 2 décembre 2011 consid. 2.2, avec références aux ATF 136 III 605 consid. 3.2.1).</w:t>
      </w:r>
    </w:p>
    <w:p>
      <w:r>
        <w:rPr>
          <w:b/>
        </w:rPr>
        <w:t>E. 3.2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ainsi qu'à la sécurité, à la sérénité et au bon ordre des débats (art. 63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3.3</w:t>
      </w:r>
    </w:p>
    <w:p>
      <w:r>
        <w:t>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En effet, il appartient aux juridictions de recours normalement compétentes de constater et de redresser les erreurs éventuellement commises dans ce cadre (ATF 143 IV 69 consid. 3.2).</w:t>
      </w:r>
    </w:p>
    <w:p>
      <w:r>
        <w:rPr>
          <w:b/>
        </w:rPr>
        <w:t>E. 3.4</w:t>
      </w:r>
    </w:p>
    <w:p>
      <w:r>
        <w:t>En l'occurrence, la requérante reproche tout d'abord au cité d'avoir refusé de reporter l'audience du 3 novembre 2025, malgré le certificat médical produit, afin qu'elle puisse y assister personnellement, ce qui violait ses droits procéduraux. À teneur du certificat médical du 29 octobre 2025, la requérante était en incapacité de travail pour cause de maladie à compter de cette date et jusqu'au 16 novembre 2025</w:t>
      </w:r>
    </w:p>
    <w:p>
      <w:r>
        <w:t>- 10/13 - PS/79/2025 inclus. Ce document ne mentionne pas qu'elle était incapable de comparaître à l'audience du 3 novembre suivant. Que le médecin ayant établi le certificat médical attestât le 12 décembre 2025 que tel était le cas n'est pas pertinent, dès lors que cette précision est survenue postérieurement au refus décrié du cité, qui n'en avait dès lors pas connaissance. Dans la mesure par ailleurs où la requérante – qui a été dispensée de comparaître à ladite audience – y aurait été représentée par son conseil (selon le cité, l'audience en question a été finalement annulée en raison de l'empêchement d'un des conseils des parties), on ne voit pas en quoi le refus du magistrat de la reporter violerait ou aurait violé les droits de partie de la requérante. On ne décèle ici aucune marque de prévention du magistrat, étant précisé que l'audience du 3 novembre 2025 avait été convoquée en juillet 2025 déjà et qu'elle impliquait la présence, outre des parties plaignantes et de leurs conseils, des quatre prévenus – policiers de leur état – et de leurs conseils. Aucun élément objectif ne permet en outre de corroborer l'attitude "de méfiance" à son égard que la requérante prête au cité, soit que celui-ci ne l'aurait pas crue lorsqu'elle affirmait que le déroulement de l'audience du 27 octobre 2025 l'aurait "bouleversée" et "profondément affectée", la requérante faisant part ici d'un simple ressenti. La requérante reproche ensuite au cité de n'avoir pas réagi à certains propos tenus par l'un des prévenus lors de l'audience du 27 octobre 2025 ainsi qu'aux ricanements et commentaires qui auraient émané de la salle. Dans son courrier du 31 octobre 2025, le cité ne remet aucunement en cause les ricanements ou commentaires en question. Il se limite à exposer n'avoir pas constaté lui-même les indications que la requérante voulait voir annotées au procès-verbal, à savoir qu'elle avait quitté la salle d'audience "seule et bouleversée", dès lors qu'il ne lui était plus supportable d'entendre les "interventions, remarques et autres ricanements" en lien avec sa possible fausse couche, émanant de l'un des prévenus et de son conseil, ce qui n'est pas la même chose. En tant qu'il s'agit là d'éléments relevant du for intérieur de la requérante, il ne saurait être fait grief au cité de ne pas les avoir constatés par lui-même et mentionnés au procès-verbal. Il n'y a là aucun indice de prévention. Il y en a d'autant moins que le cité a accepté d'annexer au procès-verbal de l'audience le courrier de la requérante du 30 octobre 2025 ainsi qu'une note selon laquelle il avait autorisé l'époux de la requérante à quitter la salle d'audience pour rejoindre cette dernière, cette mention clarifiant ainsi le fait que le prénommé n'avait pas quitté l'audience sans raison. On ne saurait par ailleurs reprocher au cité de n'avoir pas laissé le prévenu interrogé s'exprimer, alors que l'audience portait précisément sur son audition par les parties plaignantes, au motif que ses propos auraient été "provocateurs", dits propos</w:t>
      </w:r>
    </w:p>
    <w:p>
      <w:r>
        <w:t>- 11/13 - PS/79/2025 n'engageant que le prévenu lui-même. Le procès-verbal d'audience ne fait au demeurant état d'aucune protestation de la requérante ou de son conseil à cet égard. Enfin, la requérante reproche au cité de faire bénéficier les prévenus d'un traitement de faveur, citant plusieurs exemples à l'appui. S'agissant tout d'abord du refus du cité, lors de l'audience du 27 octobre 2025, de laisser poser des questions à son conseil alors que c'était au tour de l'avocate du plaignant de les poser – lequel est attesté par deux notes au procès-verbal –, on ne voit pas en quoi un tel refus trahirait une quelconque prévention du magistrat instructeur, ce dernier exerçant la police de l'audience et devant veiller notamment au bon ordre des débats (art. 63 CPP). Quant aux occurrences antérieures de partialité énoncées par la requérante, de surcroît pour la première fois dans sa réplique, il n'y a pas lieu de les examiner, dès lors que celles prétendument commises à l'occasion de l'audience du 27 octobre 2025 et en lien avec le courrier du cité du 31 octobre 2025 sont écartées. Quand bien même, les griefs en lien avec l'audience du 17 juillet 2025 sont à l'évidence tardifs. Il en va de même en tant que le casier judiciaire et les renseignements de police relatifs au plaignant auraient été requis, étant relevé qu'une telle démarche, qui ne concerne au demeurant pas la requérante mais son époux, ne saurait s'apparenter à une marque de partialité du cité – à supposer qu'elle émane de lui – dans la mesure où le plaignant est prévenu dans la procédure parallèle ouverte à son encontre à la suite des évènements du 18 juillet 2021.</w:t>
      </w:r>
    </w:p>
    <w:p>
      <w:r>
        <w:rPr>
          <w:b/>
        </w:rPr>
        <w:t>E. 4</w:t>
      </w:r>
    </w:p>
    <w:p>
      <w:r>
        <w:t>La requête, dénuée de tout fondement, sera donc rejetée.</w:t>
      </w:r>
    </w:p>
    <w:p>
      <w:r>
        <w:rPr>
          <w:b/>
        </w:rPr>
        <w:t>E. 5</w:t>
      </w:r>
    </w:p>
    <w:p>
      <w:r>
        <w:t>La requérante, qui succombe, sera condamnée aux frais de l'instance, fixés en totalité à CHF 1'000.- (art. 59 al. 4 et art. 13 let. b du Règlement fixant le tarif des frais en matière pénale; RTFMP – E 4 10.03). * * * * *</w:t>
      </w:r>
    </w:p>
    <w:p>
      <w:r>
        <w:t>- 12/13 - PS/79/2025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