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ACPR/145/2022 vom 3. März 2022</w:t>
      </w:r>
    </w:p>
    <w:p>
      <w:r>
        <w:t>GE Cour de justice, 2022-03-03, FR</w:t>
      </w:r>
    </w:p>
    <w:p>
      <w:r>
        <w:rPr>
          <w:b/>
        </w:rPr>
        <w:t xml:space="preserve">Quelle: </w:t>
      </w:r>
      <w:r>
        <w:t>https://mcp.opencaselaw.ch/entscheid/ge_gerichte_ACPR_145_2022</w:t>
      </w:r>
    </w:p>
    <w:p>
      <w:r>
        <w:t>FR: GE_GERICHTE ACPR/145/2022 du 3 mars 2022</w:t>
      </w:r>
    </w:p>
    <w:p>
      <w:r>
        <w:t>IT: GE_GERICHTE ACPR/145/2022 del 3 marzo 2022</w:t>
      </w:r>
    </w:p>
    <w:p>
      <w:pPr>
        <w:pStyle w:val="Heading2"/>
      </w:pPr>
      <w:r>
        <w:t>Erwägungen</w:t>
      </w:r>
    </w:p>
    <w:p>
      <w:r>
        <w:rPr>
          <w:b/>
        </w:rPr>
        <w:t>E. 11</w:t>
      </w:r>
    </w:p>
    <w:p>
      <w:r>
        <w:t>mars 2020 consid. 3.3); - en l'espèce, l'ordre d'autopsie critiqué a été exécuté et le corps de la défunte restitué à sa famille; - la recourante dispose toujours d'un intérêt juridique à faire trancher son recours (ATF 127 I 115 consid. 2d); - cette question peut rester ouverte, dès lors que, de toute manière, le recours devrait être rejeté;</w:t>
      </w:r>
    </w:p>
    <w:p>
      <w:r>
        <w:t>- 4/6 - P/21785/2021 - à teneur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in ZStrR – Band/Tome 135-2017, p. 203ss, p. 206 et les références citées); - quant aux recommandations R (99 3) du Comité des Ministres du Conseil de l'Europe relatives à l'harmonisation des règles en matière d'autopsie médico- légale, qui servent de basent à l'interprétation de l'art. 253 CPP, elles prévoient que les autopsies devraient être réalisées dans tous les cas de mort non naturelle évidente ou suspectée, en particulier en cas de suspicion de faute médicale (art. 2 let. e) (cf. à cet égard T. FRACASSO / S. GRODECKI, op. cit., p. 219); - en l'occurrence, à teneur du dossier, le décès de B______ soulevait des questions concernant la cause directe de la mort, qui n'était pas survenue sur les lieux de l'accident. Le médecin urgentiste a du reste délivré un constat et non un certificat de décès; - partant, le Ministère public n'a pas contrevenu à l'art. 253 al. 1 et 3 CPP en ordonnant l'autopsie litigieuse; - la recourante, qui succombe, supportera les frais envers l'État, qui comprendront un émolument de CHF 600.- (art. 428 al. 1 CPP et 13 al. 1 du Règlement fixant le tarif des frais en matière pénale, RTFMP ; E 4 10.03). * * * * *</w:t>
      </w:r>
    </w:p>
    <w:p>
      <w:r>
        <w:t>- 5/6 - P/21785/2021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