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ACPR/145/2020 vom 8. November 2019</w:t>
      </w:r>
    </w:p>
    <w:p>
      <w:r>
        <w:t>GE Cour de justice, 2019-11-08, FR</w:t>
      </w:r>
    </w:p>
    <w:p>
      <w:r>
        <w:rPr>
          <w:b/>
        </w:rPr>
        <w:t xml:space="preserve">Quelle: </w:t>
      </w:r>
      <w:r>
        <w:t>https://mcp.opencaselaw.ch/entscheid/ge_gerichte_ACPR_145_2020</w:t>
      </w:r>
    </w:p>
    <w:p>
      <w:r>
        <w:t>FR: GE_GERICHTE ACPR/145/2020 du 8 novembre 2019</w:t>
      </w:r>
    </w:p>
    <w:p>
      <w:r>
        <w:t>IT: GE_GERICHTE ACPR/145/2020 del 8 novembre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et concerner une ordonnance sujette à recours auprès de la Chambre de céans (art. 393 al. 1 let. a CPP).</w:t>
      </w:r>
    </w:p>
    <w:p>
      <w:r>
        <w:rPr>
          <w:b/>
        </w:rPr>
        <w:t>E. 1.2</w:t>
      </w:r>
    </w:p>
    <w:p>
      <w:r>
        <w:t>On comprend implicitement de l'acte de recours que la recourante se prétend victime de faux dans les titres et reproche au Ministère public de ne pas avoir cherché à l'établir. L'infraction de faux dans les titres (art. 251 CP) protège, en tant que bien juridique, d'une part, la confiance particulière placée dans un titre ayant valeur probante dans les rapports juridiques et, d'autre part, la loyauté dans les relations commerciales. Le faux dans les titres peut également porter atteinte à des intérêts individuels, en particulier lorsqu'il vise précisément à nuire à un particulier. Tel est le cas lorsque le faux est l'un des éléments d'une infraction contre le patrimoine, la personne dont le patrimoine est menacé ou atteint ayant alors la qualité de lésé (arrêt du Tribunal fédéral 6B_655/2019 précité consid. 4.3.3 et les références citées).</w:t>
      </w:r>
    </w:p>
    <w:p>
      <w:r>
        <w:rPr>
          <w:b/>
        </w:rPr>
        <w:t>E. 1.3</w:t>
      </w:r>
    </w:p>
    <w:p>
      <w:r>
        <w:t>En l'occurrence, la recourante ne s'est pas prononcée sur cette question. Toutefois, à la lecture de ses explications, il apparaît évident que les comportements dénoncés auraient été utilisés soit lui nuire personnellement, soit pour la rendre responsable du paiement d'arriérés de loyers, ce qui porte manifestement atteinte à son patrimoine. Ainsi, la qualité pour recourir doit lui être reconnue.</w:t>
      </w:r>
    </w:p>
    <w:p>
      <w:r>
        <w:rPr>
          <w:b/>
        </w:rPr>
        <w:t>E. 2</w:t>
      </w:r>
    </w:p>
    <w:p>
      <w:r>
        <w:t>La recourante reproche au Ministère public de ne pas être entré en matière sur ses plaintes.</w:t>
      </w:r>
    </w:p>
    <w:p>
      <w:r>
        <w:t>- 8/11 - P/4484/2019</w:t>
      </w:r>
    </w:p>
    <w:p>
      <w:r>
        <w:rPr>
          <w:b/>
        </w:rPr>
        <w:t>E. 2.1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2.2</w:t>
      </w:r>
    </w:p>
    <w:p>
      <w:r>
        <w:t>Se rend coupable de faux dans les titres 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- 9/11 - P/4484/2019 Il y a faux matériel lorsque l'auteur réel du document ne correspond pas à l'auteur apparent, alors que le faux intellectuel vise un titre qui émane de son auteur apparent, mais dont le contenu ne correspond pas à la réalité (ATF 142 IV 119 consid. 2.1 p. 121 ; ATF 138 IV 130 consid. 2.1 p. 134).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6B_55/2017 du 24 mars 2017 consid. 2.2). Les documents faussement créés doivent constituer des titres tels que définis par l'art. 110 ch. 4 CP, soit tout écrit destiné et propre à prouver un fait ayant une portée juridique et tout signe destiné à prouver un tel fait. Sur le plan subjectif, le faux dans les titres est une infraction intentionnelle. L'intention doit porter sur tous les éléments constitutifs. Le dol éventuel suffit (ATF 141 IV 369 consid. 7.4 p. 377).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et les références). L'avantage est une notion très large. Il peut être matériel ou immatériel. Il suffit que l'auteur veuille améliorer sa situation. Son illicéité peut résulter de la loi, du but poursuivi ou du moyen utilisé; elle peut donc être déduite du seul fait que l'auteur recourt à un faux (arrêts du Tribunal fédéral 6B_441/2016 du 29 mars 2017 consid. 6.2; 6B_367/2007 du 10 octobre 2007 consid. 4.4 non publié in ATF 133 IV 303).</w:t>
      </w:r>
    </w:p>
    <w:p>
      <w:r>
        <w:rPr>
          <w:b/>
        </w:rPr>
        <w:t>E. 2.3</w:t>
      </w:r>
    </w:p>
    <w:p>
      <w:r>
        <w:t>Un contrat de bail comportant la signature contrefaite du locataire est un faux. Le Tribunal fédéral a analysé un cas dans lequel cette inscription donnait l'impression qu'un contrat de bail avait été valablement conclu pour un loyer mensuel de USD 2'000.-, alors que le véritable contrat prévoyait un montant de USD 7'000.-. Le locataire n'avait jamais signé ou même approuvé le contrat falsifié. Il s'ensuivait que l'on avait affaire à un faux matériel et que la conception restrictive de la jurisprudence en matière de faux intellectuels dans les titres n'était pas applicable (cf. ATF 132 IV 57 consid. 5.2 p. 62 ; arrêt du Tribunal fédéral 6B_55/2017 du 24 mars 2017 consid. 2.3).</w:t>
      </w:r>
    </w:p>
    <w:p>
      <w:r>
        <w:rPr>
          <w:b/>
        </w:rPr>
        <w:t>E. 2.4</w:t>
      </w:r>
    </w:p>
    <w:p>
      <w:r>
        <w:t>En l'espèce, s'il apparait qu'une réunion a manifestement eu lieu le 30 juin 2017 entre tous les protagonistes, personne ne s'accorde en revanche sur ce qui s'y est passé, et sur ce qui y aurait, ou non, été signé, à l'intention de qui et en combien d'exemplaires. Ainsi, une audience de confrontation parait inévitable. L'audition d'un représentant de [la régie] J______, concrètement chargé des baux litigieux, semble également nécessaire afin de déterminer – devant la multiplicité des pièces produites – combien de documents originaux et/ou d'exemplaires ont été établis – compte tenu</w:t>
      </w:r>
    </w:p>
    <w:p>
      <w:r>
        <w:t>- 10/11 - P/4484/2019 des nombreuses différences formelles relevées sur les copies –, ainsi que pour éclairer les circonstances dans lesquelles la gérance est entrée en possession des contrats litigieux.</w:t>
      </w:r>
    </w:p>
    <w:p>
      <w:r>
        <w:t>En outre, voire surtout, bien qu'il semble insolite que la recourante, certes profane, ait visé et signé toutes les pages d'un "projet" de bail "tout en y ajoutant" des annotations manuscrites et une annexe – qu'elle ne détaille pas –, le dépôt des documents originaux apparaît pour le moins pertinent, ce d'autant que la recourante conteste avoir signé le contrat relatif aux locaux de D______ (VD).</w:t>
      </w:r>
    </w:p>
    <w:p>
      <w:r>
        <w:t>En tout état, même si les prétentions en paiement de la régie sont à l'évidence d'ordre civil, il ne peut être exclu, à ce stade précoce de la procédure, que la signature de la recourante ait été falsifiée ou contrefaite.</w:t>
      </w:r>
    </w:p>
    <w:p>
      <w:r>
        <w:rPr>
          <w:b/>
        </w:rPr>
        <w:t>E. 3</w:t>
      </w:r>
    </w:p>
    <w:p>
      <w:r>
        <w:t>Fondé, le recours sera admis. L'ordonnance querellée sera annulée et la cause renvoyée au Ministère public pour qu'il procède dans le sens des considérants.</w:t>
      </w:r>
    </w:p>
    <w:p>
      <w:r>
        <w:rPr>
          <w:b/>
        </w:rPr>
        <w:t>E. 4</w:t>
      </w:r>
    </w:p>
    <w:p>
      <w:r>
        <w:t>Les frais resteront à la charge de l'État (art. 428 al. 4 CPP). * * * * *</w:t>
      </w:r>
    </w:p>
    <w:p>
      <w:r>
        <w:t>- 11/11 - P/4484/2019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