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ACPR/142/2020 vom 12. Februar 2020</w:t>
      </w:r>
    </w:p>
    <w:p>
      <w:r>
        <w:t>GE Cour de justice, 2020-02-12, FR</w:t>
      </w:r>
    </w:p>
    <w:p>
      <w:r>
        <w:rPr>
          <w:b/>
        </w:rPr>
        <w:t xml:space="preserve">Quelle: </w:t>
      </w:r>
      <w:r>
        <w:t>https://mcp.opencaselaw.ch/entscheid/ge_gerichte_ACPR_142_2020</w:t>
      </w:r>
    </w:p>
    <w:p>
      <w:r>
        <w:t>FR: GE_GERICHTE ACPR/142/2020 du 12 février 2020</w:t>
      </w:r>
    </w:p>
    <w:p>
      <w:r>
        <w:t>IT: GE_GERICHTE ACPR/142/2020 del 12 febbraio 2020</w:t>
      </w:r>
    </w:p>
    <w:p>
      <w:pPr>
        <w:pStyle w:val="Heading2"/>
      </w:pPr>
      <w:r>
        <w:t>Erwägungen</w:t>
      </w:r>
    </w:p>
    <w:p>
      <w:r>
        <w:rPr>
          <w:b/>
        </w:rPr>
        <w:t>E. 1</w:t>
      </w:r>
    </w:p>
    <w:p>
      <w:r>
        <w:t>Le recours est recevable pour avoir été déposé selon la forme et dans le délai prescrits (art. 3 al. 1 PPMin, 385 al. 1 et 396 al. 1 CPP), concerner une ordonnance sujette à recours auprès de la Chambre de céans (art. 27 al. 3 et 5 PPMin, 222 et 393 al. 1 let. c CPP) et émaner du prévenu qui, partie à la procédure (art. 38 al. 1 let. a PPMin et 104 al. 1 let. a CPP), a qualité pour agir, ayant un intérêt juridiquement protégé à la modification ou à l'annulation de la décision querellée (art. 382 al. 1 CPP).</w:t>
      </w:r>
    </w:p>
    <w:p>
      <w:r>
        <w:rPr>
          <w:b/>
        </w:rPr>
        <w:t>E. 2</w:t>
      </w:r>
    </w:p>
    <w:p>
      <w:r>
        <w:t>Le recourant ne conteste pas les charges suffisantes – au demeurant déjà retenues dans une précédente ordonnance du TMC – de sorte qu'il n'y pas lieu de les examiner.</w:t>
      </w:r>
    </w:p>
    <w:p>
      <w:r>
        <w:rPr>
          <w:b/>
        </w:rPr>
        <w:t>E. 3</w:t>
      </w:r>
    </w:p>
    <w:p>
      <w:r>
        <w:t>Il conteste le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w:t>
      </w:r>
    </w:p>
    <w:p>
      <w:r>
        <w:t>- 5/9 - P/25256/2019 consid. 3.2 p. 23 ; 128 I 149 consid. 2.1 p. 151 ; 123 I 31 consid. 3c p. 35 et les références).</w:t>
      </w:r>
    </w:p>
    <w:p>
      <w:r>
        <w:rPr>
          <w:b/>
        </w:rPr>
        <w:t>E. 3.2</w:t>
      </w:r>
    </w:p>
    <w:p>
      <w:r>
        <w:t>p. 86 ; DCPR/205/2011 du 9 août 2011).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t>- 6/9 - P/25256/2019</w:t>
      </w:r>
    </w:p>
    <w:p>
      <w:r>
        <w:rPr>
          <w:b/>
        </w:rPr>
        <w:t>E. 4</w:t>
      </w:r>
    </w:p>
    <w:p>
      <w:r>
        <w:t>Le recourant conteste le risque de récidive.</w:t>
      </w:r>
    </w:p>
    <w:p>
      <w:r>
        <w:rPr>
          <w:b/>
        </w:rPr>
        <w:t>E. 4.1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w:t>
      </w:r>
    </w:p>
    <w:p>
      <w:r>
        <w:rPr>
          <w:b/>
        </w:rPr>
        <w:t>E. 4.2</w:t>
      </w:r>
    </w:p>
    <w:p>
      <w:r>
        <w:t>En l'occurrence, le prévenu n'a pas hésité à multiplier les infractions sur une période, certes assez courte, mais de manière intense au vu du nombre de cas répertoriés.</w:t>
      </w:r>
    </w:p>
    <w:p>
      <w:r>
        <w:t>Le risque qu'il réitère ses agissements subsiste. S'il a certes entrepris des démarches pour faire un stage dans le bâtiment au Portugal, qui l'éloignerait de ses mauvaises fréquentations à Genève, il n'évoque pas quels seront ses projets à son retour en Suisse. Or, à le suivre, ce sont précisément les doutes sur son avenir professionnel qui l'auraient poussé à commettre des infractions.</w:t>
      </w:r>
    </w:p>
    <w:p>
      <w:r>
        <w:t>Il existe dès lors, à ce stade, un risque de récidive.</w:t>
      </w:r>
    </w:p>
    <w:p>
      <w:r>
        <w:t>Enfin, la motivation du TMC au sujet de l'existence de ce risque – bien que succincte – n'est pas critiquable, étant relevé qu'il appartiendra à l'autorité de jugement d'apprécier les mobiles et la situation personnelle du prévenu.</w:t>
      </w:r>
    </w:p>
    <w:p>
      <w:r>
        <w:rPr>
          <w:b/>
        </w:rPr>
        <w:t>E. 5</w:t>
      </w:r>
    </w:p>
    <w:p>
      <w:r>
        <w:t>Le recourant propose, à titre de mesures de substitution pour pallier les risques précités (art. 237 al. 1 CPP), le stage dans le bâtiment qu'il souhaite accomplir au Portugal et qui l'éloignera ainsi du lieu des infractions et des "meneurs" l'ayant poussé à agir.</w:t>
      </w:r>
    </w:p>
    <w:p>
      <w:r>
        <w:t>Or, on ignore les modalités exactes de celui-ci et de quelle manière le respect de cette mesure sera garanti. À cela s'ajoute que le prévenu n'a pas de projet de formation lorsqu'il reviendra en Suisse.</w:t>
      </w:r>
    </w:p>
    <w:p>
      <w:r>
        <w:t>La mesure proposée ne semble donc reposer à ce stade que sur la bonne volonté du prévenu qui admet, pour avoir été poussé par d'autres jeunes à commettre des actes illicites, être très influençable.</w:t>
      </w:r>
    </w:p>
    <w:p>
      <w:r>
        <w:t>Un tel engagement apparaît ainsi insuffisant.</w:t>
      </w:r>
    </w:p>
    <w:p>
      <w:r>
        <w:rPr>
          <w:b/>
        </w:rPr>
        <w:t>E. 6</w:t>
      </w:r>
    </w:p>
    <w:p>
      <w:r>
        <w:t>L'admission des risques de collusion et réitération dispense d'examiner si s'y ajoute encore un risque de fuite.</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w:t>
      </w:r>
    </w:p>
    <w:p>
      <w:r>
        <w:t>- 7/9 - P/25256/2019 2013 consid. 2, 1B_624/2011 du 29 novembre 2011 consid. 3.1 et 1B_9/2011 du 7 février 2011 consid. 7.2).</w:t>
      </w:r>
    </w:p>
    <w:p>
      <w:r>
        <w:rPr>
          <w:b/>
        </w:rPr>
        <w:t>E. 7.2</w:t>
      </w:r>
    </w:p>
    <w:p>
      <w:r>
        <w:t>En l'espèce, la prolongation de la détention provisoire du prévenu pour une durée d'un mois, soit jusqu'au 12 mars 2020, respecte le principe de la proportionnalité, eu égard aux soupçons d'infractions graves pesant sur lui et à la peine à laquelle il s'expose concrètement. Une durée échéant au 29 février 2020 n'apparaît pas suffisante pour finaliser l'instruction, comme retenu à juste titre par le TMC, le prévenu devant être entendu à nouveau par la police à cette date, puis, le 3 mars prochain, par le JMin.</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 E 4 10.03). * * * * *</w:t>
      </w:r>
    </w:p>
    <w:p>
      <w:r>
        <w:t>- 8/9 - P/25256/2019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