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ACPR/13/2024 vom 8. Juni 2023</w:t>
      </w:r>
    </w:p>
    <w:p>
      <w:r>
        <w:t>GE Cour de justice, 2023-06-08, FR</w:t>
      </w:r>
    </w:p>
    <w:p>
      <w:r>
        <w:rPr>
          <w:b/>
        </w:rPr>
        <w:t xml:space="preserve">Quelle: </w:t>
      </w:r>
      <w:r>
        <w:t>https://mcp.opencaselaw.ch/entscheid/ge_gerichte_ACPR_13_2024</w:t>
      </w:r>
    </w:p>
    <w:p>
      <w:r>
        <w:t>FR: GE_GERICHTE ACPR/13/2024 du 8 juin 2023</w:t>
      </w:r>
    </w:p>
    <w:p>
      <w:r>
        <w:t>IT: GE_GERICHTE ACPR/13/2024 del 8 giugno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d'une violation de son droit d'être entendue, en ce sens que l'enregistrement des appels à la centrale de D______ SA figurant au dossier ne lui a pas été communiqué, malgré ses demandes. Le droit d'être entendu garanti par l'art. 3 al. 2 let. c CPP, qui a la même portée que l'art. 29 al. 2 Cst. (arrêt du Tribunal fédéral 6B_80/2012 du 14 août 2012 consid. 1.1), comprend la consultation des pièces au siège de l'autorité, la prise de notes et la délivrance de photocopies, pour autant qu'il n'en résulte pas un surcroît de travail excessif pour l'autorité. En revanche, il ne confère pas le droit de se voir notifier à domicile les pièces du dossier ni des copies de celui-ci (art. 102 et 107 CPP; ATF 122 I 109 consid. 2b ; arrêt du Tribunal fédéral 6B_382/2022 du 12 septembre 2022 consid. 2.2). Le grief de la recourante tombe donc à faux et sera rejeté.</w:t>
      </w:r>
    </w:p>
    <w:p>
      <w:r>
        <w:rPr>
          <w:b/>
        </w:rPr>
        <w:t>E. 3</w:t>
      </w:r>
    </w:p>
    <w:p>
      <w:r>
        <w:t>La recourante remet par ailleurs en cause l'impartialité des experts. Ce grief doit également d'emblée être écarté, d'une part car la recourante ne l'a soulevé qu'après avoir constaté que les conclusions des experts ne servaient pas sa position, soit tardivement (cf. art. 58 al. 1 CPP), d'autre part parce qu'elle n'avance aucun élément qui permettrait de douter de la fiabilité de leurs constats et de penser qu'ils auraient cherché à protéger leurs confrères (cf. arrêt du Tribunal fédéral 1B_424/2014 du 23 février 2015 consid. 2.3; Y. JEANNERET / A. KUHN / C. PERRIER DEPEURSINGE (éds), Commentaire romand : Code de procédure pénale suisse, 2ème éd., Bâle 2019, n. 17 ad art. 189).</w:t>
      </w:r>
    </w:p>
    <w:p>
      <w:r>
        <w:rPr>
          <w:b/>
        </w:rPr>
        <w:t>E. 4</w:t>
      </w:r>
    </w:p>
    <w:p>
      <w:r>
        <w:t>La recourante estime que l'instruction doit être complétée.</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w:t>
      </w:r>
    </w:p>
    <w:p>
      <w:r>
        <w:t>- 13/18 - P/22813/2018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L'art. 125 CP réprime le comportement de celui qui, par négligence, aura fait subir à une personne une atteinte à l'intégrité corporelle ou à la santé.</w:t>
      </w:r>
    </w:p>
    <w:p>
      <w:r>
        <w:rPr>
          <w:b/>
        </w:rPr>
        <w:t>E. 4.2.1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4.2.2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 autre acte médical n'apparaît plus défendable selon l'état général des connaissances de la</w:t>
      </w:r>
    </w:p>
    <w:p>
      <w:r>
        <w:t>- 14/18 - P/22813/2018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4.3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4.4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4.5</w:t>
      </w:r>
    </w:p>
    <w:p>
      <w:r>
        <w:t>En l'espèce, les experts mis en œuvre ont estimé que l'intimé avait commis une erreur de diagnostic en n'envisageant pas, au vu des symptômes décrits, d'autre hypothèse qu'une migraine. Ils ont toutefois aussi clairement conclu que cette omission n'avait pas eu d'effet sur l'état de santé de la recourante, du fait du temps écoulé entre la survenance de l'AVC et la consultation médicale, délai trop important pour une quelconque prise en charge médicamenteuse curative. Certes, ils ont admis que le moment de l'AVC ne pouvait être déterminé avec exactitude. Il n'en demeure pas moins qu'ils n'ont laissé planer aucun doute quant au fait qu'au moment de l'intervention de l'intimé, l'AVC était installé depuis plus de</w:t>
      </w:r>
    </w:p>
    <w:p>
      <w:r>
        <w:rPr>
          <w:b/>
        </w:rPr>
        <w:t>E. 6</w:t>
      </w:r>
    </w:p>
    <w:p>
      <w:r>
        <w:t>La recourante, qui succombe, supportera les frais envers l'État, qui seront fixés en totalité à CHF 1'000.- (art. 428 al. 1 CPP et 13 al. 1 du Règlement fixant le tarif des frais en matière pénale, RTFMP ; E 4 10.03).</w:t>
      </w:r>
    </w:p>
    <w:p>
      <w:r>
        <w:rPr>
          <w:b/>
        </w:rPr>
        <w:t>E. 7</w:t>
      </w:r>
    </w:p>
    <w:p>
      <w:r>
        <w:t>Selon l'art. 429 al. 1 let. a CPP, le prévenu a droit à une indemnité pour les dépenses occasionnées par l'exercice raisonnable de ses droits de procédure, cette indemnisation visant les frais de la défense de choix (M. NIGGLI / M. HEER / H. IPRÄCHTIGER (éds), Strafprozessordnung - Jugendstrafprozessordnung, Basler Kommentar StPO/JStPO, 2ème éd., Bâle 2014, n. 12 ad art. 429). Dans la mesure où l'intimé, prévenu, n'a pas chiffré ses prétentions, mais où l'autorité pénale examine d'office ce poste (art. 429 al. 2 CPP), un montant de CHF 800.- lui sera par conséquent alloué, correspondant à 2h00 d'activité au tarif horaire de CHF 400.-, ce qui parait en adéquation avec le travail fourni. Ce montant s'entend hors TVA, vu le domicile de l'intimé à l'étranger (ATF 141 IV 344 consid. 4). La partie plaignante qui succombe devant l'autorité de recours n'ayant pas à supporter les frais de défense du prévenu lorsque la décision attaquée est une ordonnance de classement (ATF 139 IV 45 consid. 1.2 ; arrêt du Tribunal fédéral 6B_357/2015 du 16 septembre 2015 consid. 2.2), cette indemnité sera mise à la charge de l'État. * * * * *</w:t>
      </w:r>
    </w:p>
    <w:p>
      <w:r>
        <w:t>- 17/18 - P/22813/2018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