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ACPR/139/2026 vom 10. Februar 2026</w:t>
      </w:r>
    </w:p>
    <w:p>
      <w:r>
        <w:t>GE Cour de justice, 2026-02-10, FR</w:t>
      </w:r>
    </w:p>
    <w:p>
      <w:r>
        <w:rPr>
          <w:b/>
        </w:rPr>
        <w:t xml:space="preserve">Quelle: </w:t>
      </w:r>
      <w:r>
        <w:t>https://mcp.opencaselaw.ch/entscheid/ge_gerichte_ACPR_139_2026</w:t>
      </w:r>
    </w:p>
    <w:p>
      <w:r>
        <w:t>FR: GE_GERICHTE ACPR/139/2026 du 10 février 2026</w:t>
      </w:r>
    </w:p>
    <w:p>
      <w:r>
        <w:t>IT: GE_GERICHTE ACPR/139/2026 del 10 febbraio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recevables,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qu'il existe une prévention suffisante, contre C______, d'infractions aux art. 138, 146 voire 157 CP.</w:t>
      </w:r>
    </w:p>
    <w:p>
      <w:r>
        <w:rPr>
          <w:b/>
        </w:rPr>
        <w:t>E. 3.1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w:t>
      </w:r>
    </w:p>
    <w:p>
      <w:r>
        <w:t>- 7/13 - P/11837/2025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Pour rendre une ordonnance de non-entrée en matière selon l'art. 310 al. 1 let. a CPP, le ministère public doit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133 IV 21 consid. 6.2).</w:t>
      </w:r>
    </w:p>
    <w:p>
      <w:r>
        <w:rPr>
          <w:b/>
        </w:rPr>
        <w:t>E. 3.3</w:t>
      </w:r>
    </w:p>
    <w:p>
      <w:r>
        <w:t>Aux termes de l'art. 146 ch. 1 CP, commet une escroquerie quiconque, dans le dessein de se procurer ou de procurer à un tiers un enrichissement illégitime, induit astucieusement en erreur une personne par des affirmations fallacieuses ou la dissimulation de faits vrais ou la conforte dans son erreur et détermine de la sorte la victime à des actes préjudiciables à ses intérêts pécuniaires ou à ceux d'un tiers.</w:t>
      </w:r>
    </w:p>
    <w:p>
      <w:r>
        <w:rPr>
          <w:b/>
        </w:rPr>
        <w:t>E. 3.3.1</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w:t>
      </w:r>
    </w:p>
    <w:p>
      <w:r>
        <w:rPr>
          <w:b/>
        </w:rPr>
        <w:t>E. 3.3.2</w:t>
      </w:r>
    </w:p>
    <w:p>
      <w:r>
        <w:t>Une tromperie portant sur la volonté d'exécuter un contrat n'est pas systématiquement astucieuse. Il est, en effet, trop schématique d'affirmer que l'intention affichée est un phénomène intérieur invérifiable. Ainsi, l'emprunteur qui a l'intention de rembourser son bailleur de fonds n'agit pas astucieusement lorsqu'il ne l'informe pas spontanément de son insolvabilité. Il en va, en revanche, différemment</w:t>
      </w:r>
    </w:p>
    <w:p>
      <w:r>
        <w:t>- 8/13 - P/11837/2025 lorsque l'auteur présente une fausse vision de la réalité de manière à dissuader le prêteur de se renseigner sur sa situation financière ou lorsque des circonstances particulières font admettre au prévenu que le lésé ne posera pas de question sur ce point (arrêt du Tribunal fédéral 6B_817/2018 du 23 octobre 2018 consid. 2.4.1).</w:t>
      </w:r>
    </w:p>
    <w:p>
      <w:r>
        <w:rPr>
          <w:b/>
        </w:rPr>
        <w:t>E. 3.3.3</w:t>
      </w:r>
    </w:p>
    <w:p>
      <w:r>
        <w:t>L'astuce n'est toutefois pas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w:t>
      </w:r>
    </w:p>
    <w:p>
      <w:r>
        <w:rPr>
          <w:b/>
        </w:rPr>
        <w:t>E. 3.4</w:t>
      </w:r>
    </w:p>
    <w:p>
      <w:r>
        <w:t>L'art. 157 CP poursuit, du chef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3.4.1</w:t>
      </w:r>
    </w:p>
    <w:p>
      <w:r>
        <w:t>La réalisation de cette infraction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w:t>
      </w:r>
    </w:p>
    <w:p>
      <w:r>
        <w:rPr>
          <w:b/>
        </w:rPr>
        <w:t>E. 3.4.2</w:t>
      </w:r>
    </w:p>
    <w:p>
      <w:r>
        <w:t>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Pour admettre un état de gêne financière, la victime doit se trouver dans l'impossibilité de repousser le contrat qui lui est proposé ou les conditions qui lui sont faites. Elle se trouve ainsi réduite à une telle extrémité, soit à la "merci" de l'usurier (ACPR/31/2024 du 19 janvier 2024, consid. 3.2; M. DUPUIS/ L. MOREILLON/ C. PIGUET/ S. BERGER/ M. MAZOU/ V. RODIGARI (éds), Petit commentaire du CP, 2ème éd., Bâle 2017, n. 5 ad 157).</w:t>
      </w:r>
    </w:p>
    <w:p>
      <w:r>
        <w:t>- 9/13 - P/11837/2025 3.5.1. En l'espèce, la recourante a déclaré dans sa plainte, qu'elle a déposée seule, qu'en juin 2023, elle se trouvait en fin de contrat pour la société E______ SA et avait commencé son activité pour B______ SA, une société du mis en cause, à compter du 1er décembre 2023 – date confirmée dans son recours –, comme développeur de projet. Dans son recours, rédigé avec l'aide de son conseil, elle indique que le mis en cause l'aurait "débauchée" de son précédent emploi. Ce sont là deux explications contradictoires et aucun élément du dossier ne permet d'accorder plus de crédit à l'une ou l'autre d'entre elles. À l'appui de sa plainte, la recourante a produit comme unique contrat un mandat conclu avec B______ SA le 24 octobre 2023. Il n'y est pas indiqué à compter de quand devait commencer la collaboration. Si le 27 juin 2023 la recourante a envoyé à l'une des assistantes du mis en cause une "proposition Draft contrat de travail", elle ne soutient pas qu'un tel contrat aurait finalement été signé. Une autre assistante du mis en cause a écrit à la recourante à une date indéterminée, à la suite de la réception de sa "fiche de salaire" pour le mois de septembre 2023, qu'une discussion devrait intervenir en vue de la "mise en place" d'un contrat de mandat, considérant une problématique de maladie de longue durée de l'intéressée et des problèmes en découlant à l'égard de la "caisse maladie" de B______ SA, d'où probablement la signature du contrat de mandat précité en octobre 2023. C'est dire que la situation contractuelle des intéressés n'est pas claire, que ce soit quant à la nature de leurs relations professionnelles, l'ampleur de l'activité réellement développée par la recourante et la période concernée. S'il existe bien un contrat de mandat aux termes duquel (art. 9) des honoraires mensuels de CHF 28'000.- étaient prévus, et que le mis en cause, devant la police, n'a admis ne pas avoir versé mensuellement ce montant à la recourante, il a aussi expliqué que c'était faute pour cette dernière d'avoir accompli une quelconque mission. Ce comportement n'est pas encore forcément constitutif d'une infraction pénale. 3.5.2. Ceci étant dit, en lien avec une infraction d'abus de confiance, la recourante ne soutient pas avoir confié quoique ce soit, en particulier des valeurs, au mis en cause, de sorte que faute de l'existence de cette condition objective, cette infraction ne saurait entrer en ligne de compte. 3.5.3. La recourante soutient ensuite en substance avoir été victime d'une escroquerie, dans la mesure où le mis en cause n'aurait en réalité eu, d'emblée, aucune intention d'honorer sa part du contrat. Elle ne se serait pas méfiée de lui, puisqu'elle le connaissait depuis de nombreuses années et avait passé des vacances avec lui et leurs familles respectives dans une station de N______ bernois, en 2019. De son côté, le mis en cause a expliqué que ce serait la recourante qui, au fil des années, serait revenue à lui à l'occasion de ses succès professionnels, relayés par la presse, en dernier lieu en mars 2023, à la suite de l'acquisition d'un "quartier industriel à H______ [GE]". Quoi qu'il en soit, il ressort en l'état de la procédure qu'un contrat de mandat a été conclu entre les intéressés en octobre 2023 et que, des premiers dires – à la police – de la</w:t>
      </w:r>
    </w:p>
    <w:p>
      <w:r>
        <w:t>- 10/13 - P/11837/2025 recourante, son activité n'aurait commencé qu'en décembre 2023. De plus, il n'est pas possible de déterminer si la recourante a ou non déployé une activité qui aurait justifié le versement d'honoraires mensuels de CHF 28'000.-. Cette problématique est du ressort des juridictions civiles, celle des Prud'hommes étant au demeurant déjà saisie et ayant tenu une audience en décembre 2025. Pour le surplus, il ne suffit pas, pour fonder le soupçon d'une tromperie astucieuse, de soutenir, au stade du recours, que le mis en cause ferait désormais personnellement, de même que ses sociétés, l'objet de poursuites pour en conclure qu'il n'aurait d'emblée pas eu l'intention de rétribuer la recourante pour son activité. On ne distingue ainsi pas quels manœuvres frauduleuses, édifice de mensonges ou mise en scène subtile auraient été exercés par le mis en cause sur la recourante. Dans ces conditions, c'est à juste titre que le Ministère public a retenu qu'il n'existait pas de soupçons suffisants de la commission d'une escroquerie. 3.5.4. Enfin, pour la première fois au stade du recours, la recourante soutient que le mis en cause, par l'imposition soudaine d'un mandat, bien moins protecteur, après avoir sollicité son travail sur la base d'un salaire fixé et connu, aurait "instrumentalis[é] un rapport de force déséquilibré". Les éléments versés au dossier ne permettent toutefois pas d'établir que la recourante se serait trouvée, au moment de la signature du contrat de mandat le 24 octobre 2023, dans une situation de faiblesse, de gêne ou de dépendance économique à l'égard du mis en cause. Au contraire, dans un courriel du 17 octobre 2023 à l'une des assistantes de ce dernier, elle a évoqué la constitution par ses soins d'une Sàrl – dans l'optique d'une activité comme indépendante – et le fait qu'elle acceptait le contrat de mandat "en tout point" et se réjouissait d'avance de "cette" collaboration. On ne discerne dès lors pas en quoi sa situation personnelle et financière aurait rendu impérative la conclusion de ce contrat de mandat, sans qu'aucune alternative ne lui fût offerte. Par ailleurs, il sera rappelé que la recourante est architecte de formation et a produit elle- même un article publié le ______ 2023 dans une revue professionnelle vantant ses mérites d'"architecte DPLG, SIA, REG A et urbaniste primée de nombreuses fois pour ses réalisations […]". Ces circonstances permettent de considérer que la recourante ne s'est pas trouvée dans un état de contrainte qui aurait influé si fort sur sa liberté de décision qu'elle aurait été prête à fournir une prestation disproportionnée. Sur ce dernier point, il sera au contraire noté que selon le contrat de mandat, des honoraires mensuels de CHF 28'000.- étaient prévus. Il s’ensuit que les conditions constitutives de l’infraction d’usure (art. 157 CP) n’apparaissent pas réalisées. L’ordonnance querellée est donc fondée sur ce point également.</w:t>
      </w:r>
    </w:p>
    <w:p>
      <w:r>
        <w:t>- 11/13 - P/11837/2025</w:t>
      </w:r>
    </w:p>
    <w:p>
      <w:r>
        <w:rPr>
          <w:b/>
        </w:rPr>
        <w:t>E. 4</w:t>
      </w:r>
    </w:p>
    <w:p>
      <w:r>
        <w:t>Justifiée, l'ordonnance querellée sera donc confirmée.</w:t>
      </w:r>
    </w:p>
    <w:p>
      <w:r>
        <w:rPr>
          <w:b/>
        </w:rPr>
        <w:t>E. 5</w:t>
      </w:r>
    </w:p>
    <w:p>
      <w:r>
        <w:t>La recourante succombant, elle sera condamnée aux frais de la procédure de recours, fixés en totalité à CHF 1'500.- (art. 3 cum 13 al. 1 du Règlement fixant le tarif des frais en matière pénale, RTFMP; E 4 10.03), somme qui sera prélevée sur les sûretés versées.</w:t>
      </w:r>
    </w:p>
    <w:p>
      <w:r>
        <w:rPr>
          <w:b/>
        </w:rPr>
        <w:t>E. 6</w:t>
      </w:r>
    </w:p>
    <w:p>
      <w:r>
        <w:t>Corrélativement, aucun dépens n'est dû (art. 433 al. 1 let. a CPP a contrario, par renvoi de l'art. 436 al. 1 CPP).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