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ACPR/138/2023 vom 16. Dezember 2022</w:t>
      </w:r>
    </w:p>
    <w:p>
      <w:r>
        <w:t>GE Cour de justice, 2022-12-16, FR</w:t>
      </w:r>
    </w:p>
    <w:p>
      <w:r>
        <w:rPr>
          <w:b/>
        </w:rPr>
        <w:t xml:space="preserve">Quelle: </w:t>
      </w:r>
      <w:r>
        <w:t>https://mcp.opencaselaw.ch/entscheid/ge_gerichte_ACPR_138_2023</w:t>
      </w:r>
    </w:p>
    <w:p>
      <w:r>
        <w:t>FR: GE_GERICHTE ACPR/138/2023 du 16 décembre 2022</w:t>
      </w:r>
    </w:p>
    <w:p>
      <w:r>
        <w:t>IT: GE_GERICHTE ACPR/138/2023 del 16 dicembre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l'ordonnance querellée (art. 382 al. 1 CPP).</w:t>
      </w:r>
    </w:p>
    <w:p>
      <w:r>
        <w:rPr>
          <w:b/>
        </w:rPr>
        <w:t>E. 2</w:t>
      </w:r>
    </w:p>
    <w:p>
      <w:r>
        <w:t>Le recourant a demandé à pouvoir compléter son recours. Or, il est communément admis en procédure que la motivation d'un recours doit être entièrement contenue dans l'acte de recours lui-même, qui ne saurait dès lors être complété ou corrigé ultérieurement (ATF 134 II 244 consid. 2.4.2 et 2.4.3 p. 247 s.; arrêt du Tribunal fédéral 4A_659/2011 du 7 décembre 2010 consid. 5; ACPR/373/2022 du 27 mai 2022 consid. 3; Y. JEANNERET / A. KUHN / C. PERRIER DEPEURSINGE (éds), Commentaire romand : Code de procédure pénale suisse, 2ème éd., Bâle 2019, n. 3 ad art. 385), de sorte que sa demande sera rejetée.</w:t>
      </w:r>
    </w:p>
    <w:p>
      <w:r>
        <w:rPr>
          <w:b/>
        </w:rPr>
        <w:t>E. 3</w:t>
      </w:r>
    </w:p>
    <w:p>
      <w:r>
        <w:t>Le recourant reproche au Ministère public de n'être pas entré en matière sur les faits dénoncés, en tant qu'ils portent sur l'infraction d'usure (art. 157 CP), en lien avec son activité au sein du restaurant "E______".</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p. 243; arrêt du Tribunal fédéral 6B_1279/2018 du 26 mars 2019 consid. 2.1).</w:t>
      </w:r>
    </w:p>
    <w:p>
      <w:r>
        <w:t>- 5/8 - P/22343/2020</w:t>
      </w:r>
    </w:p>
    <w:p>
      <w:r>
        <w:rPr>
          <w:b/>
        </w:rPr>
        <w:t>E. 3.2</w:t>
      </w:r>
    </w:p>
    <w:p>
      <w:r>
        <w:t>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(B. CORBOZ, Les infractions en droit suisse,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L'état de gêne s'entend de toute situation de contrainte, économique ou autre, qui influe si fort sur la liberté de décision de la personne lésée qu'elle est prête à fournir une prestation disproportionnée. Il faut procéder à une appréciation objective de la situation (arrêt du Tribunal fédéral 6B_301/2020 du 28 avril 2020 consid. 1.1.1 et les références citées). L'inexpérience doit porter, de façon générale, sur le monde des affaires, et non sur un contrat en particulier (ATF 130 IV 106 consid. 7.3 p. 109). Concernant la gêne économique, la victime doit se trouver dans l'impossibilité de repousser le contrat qui lui est proposé ou les conditions qui lui sont faites. Elle se trouve ainsi réduite à une telle extrémité, soit à la "merci" de l'usurier (M. DUPUIS / L. MOREILLON / C. PIGUET / S. BERGER / M. MAZOU / V. RODIGARI (éds), Code pénal - Petit commentaire, 2e éd., Bâle 2017, n. 5 ad. 157).</w:t>
      </w:r>
    </w:p>
    <w:p>
      <w:r>
        <w:rPr>
          <w:b/>
        </w:rPr>
        <w:t>E. 3.3</w:t>
      </w:r>
    </w:p>
    <w:p>
      <w:r>
        <w:t>En l'espèce, un rapport de travail entre le recourant et le restaurant peut être admis, indépendamment du responsable effectif, dès lors que les déclarations de l'intéressé n'ont jamais été contredites et qu'elles sont corroborées par celles du mis en cause. Pour autant qu'elles soient avérées, les conditions d'emploi, et plus particulièrement salariales, dénoncées pourraient se révéler incompatibles avec le droit du travail suisse. Cela étant, le recourant n'a jamais expliqué – ni démontré – en quoi sa situation nécessitait, impérieusement et sans autre alternative, de travailler pour ce restaurant. Sa situation irrégulière ne l'a pas empêché, selon ses dires, de trouver plusieurs sources de revenu durant ses séjours en Suisse et le risque d'une expulsion n'apparaît pas déterminant dès lors que ses deux précédents renvois ne l'ont pas dissuadé de revenir sur le territoire helvétique, en s'affranchissant même d'une interdiction d'entrée.</w:t>
      </w:r>
    </w:p>
    <w:p>
      <w:r>
        <w:t>- 6/8 - P/22343/2020 Compte tenu de ce qui précède, le besoin de nourrir sa famille constituait sans aucun doute sa motivation première mais sa liberté d'action dans ses démarches pour y parvenir n'apparaît pas avoir été confinée à des extrêmes l'obligeant à accepter ces conditions de travail prétendument non conformes au droit. Ainsi, une condition constitutive de l'infraction d'usure n'apparaît pas réalisée.</w:t>
      </w:r>
    </w:p>
    <w:p>
      <w:r>
        <w:rPr>
          <w:b/>
        </w:rPr>
        <w:t>E. 4</w:t>
      </w:r>
    </w:p>
    <w:p>
      <w:r>
        <w:t>Justifiée, l'ordonnance querellée sera donc confirmée. Le recours, qui s'avère infondé, pouvait être rejeté sans échange d'écritures ni débats (art. 390 al. 2 et 5 a contrario CPP).</w:t>
      </w:r>
    </w:p>
    <w:p>
      <w:r>
        <w:rPr>
          <w:b/>
        </w:rPr>
        <w:t>E. 5</w:t>
      </w:r>
    </w:p>
    <w:p>
      <w:r>
        <w:t>Le recourant, qui succombe en qualité de plaignant, supportera les frais envers l'État, qui seront fixés en totalité à CHF 600.-, ceci au regard de sa situation financière (art. 428 al. 1 CPP et 13 al. 1 du Règlement fixant le tarif des frais en matière pénale, RTFMP ; E 4 10.03). * * * * *</w:t>
      </w:r>
    </w:p>
    <w:p>
      <w:r>
        <w:t>- 7/8 - P/22343/2020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