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ACPR/136/2022 vom 14. Juni 2021</w:t>
      </w:r>
    </w:p>
    <w:p>
      <w:r>
        <w:t>GE Cour de justice, 2021-06-14, FR</w:t>
      </w:r>
    </w:p>
    <w:p>
      <w:r>
        <w:rPr>
          <w:b/>
        </w:rPr>
        <w:t xml:space="preserve">Quelle: </w:t>
      </w:r>
      <w:r>
        <w:t>https://mcp.opencaselaw.ch/entscheid/ge_gerichte_ACPR_136_2022</w:t>
      </w:r>
    </w:p>
    <w:p>
      <w:r>
        <w:t>FR: GE_GERICHTE ACPR/136/2022 du 14 juin 2021</w:t>
      </w:r>
    </w:p>
    <w:p>
      <w:r>
        <w:t>IT: GE_GERICHTE ACPR/136/2022 del 14 giugno 2021</w:t>
      </w:r>
    </w:p>
    <w:p>
      <w:pPr>
        <w:pStyle w:val="Heading2"/>
      </w:pPr>
      <w:r>
        <w:t>Erwägungen</w:t>
      </w:r>
    </w:p>
    <w:p>
      <w:r>
        <w:rPr>
          <w:b/>
        </w:rPr>
        <w:t>E. 1</w:t>
      </w:r>
    </w:p>
    <w:p>
      <w:r>
        <w:t>Le recours est, en premier lieu, dirigé contre le refus d'entendre une partie plaignante.</w:t>
      </w:r>
    </w:p>
    <w:p>
      <w:r>
        <w:rPr>
          <w:b/>
        </w:rPr>
        <w:t>E. 1.1</w:t>
      </w:r>
    </w:p>
    <w:p>
      <w:r>
        <w:t>Cet acte a été déposé selon la forme et dans le délai prescrits (art. 385 al. 1 et 396 al. 1 CPP); concerne des points d'une ordonnance sujette à recours auprès de la Chambre de céans (art. 393 al. 1 let. a CPP) et émane, par ailleurs, de la prévenue, partie à la procédure (art. 104 al. 1 let. a CPP). 1.2.1. À teneur de l'art. 382 al. 1 CPP, toute partie qui a un intérêt juridiquement protégé à l’annulation ou à la modification d’une décision a qualité pour recourir contre celle-ci. Il est un principe général de procédure que la qualité pour interjeter un recours n'est reconnue que si le recourant est lésé personnellement par le dispositif de la décision, un recours contre les motifs de celle-ci étant irrecevable (ATF 96 IV 64). D'une manière générale, les personnes poursuivies ne peuvent recourir contre une décision rendue en leur faveur (ATF 101 IV 327 ; ATF 103 II 155 consid. 3 ; DCPR/125/2011 du 31 mai 2011; arrêt ACPR/511/2019 du 4 juillet 2019 consid 2.2.2). 1.2.2. En l'espèce, la plainte de C______ a été classée, au bénéfice de la recourante. Dans cette mesure, cette dernière ne saurait se plaindre ici, faute d'intérêt juridique, du refus du Ministère public d'entendre la prénommée. La recourante demeure, de surcroît, pleinement libre de requérir cette audition dans la procédure au fond actuellement pendante par-devant le Tribunal de police. Le recours est ainsi irrecevable sur ce point.</w:t>
      </w:r>
    </w:p>
    <w:p>
      <w:r>
        <w:rPr>
          <w:b/>
        </w:rPr>
        <w:t>E. 1.3</w:t>
      </w:r>
    </w:p>
    <w:p>
      <w:r>
        <w:t>L'acte est également formé pour violation de l'art. 426 CPP.</w:t>
      </w:r>
    </w:p>
    <w:p>
      <w:r>
        <w:t>- 6/10 - P/15602/2015 Il est, sous cet angle, recevable, car touchant un point pour lequel elle dispose d'un intérêt juridiquement protégé à la modification ou l'annulation de l'ordonnance querellée (art. 382 al. 1 CPP).</w:t>
      </w:r>
    </w:p>
    <w:p>
      <w:r>
        <w:rPr>
          <w:b/>
        </w:rPr>
        <w:t>E. 2</w:t>
      </w:r>
    </w:p>
    <w:p>
      <w:r>
        <w:t>La recourante conteste ainsi la mise à sa charge des frais liés au classement de la procédure s'agissant de la plainte de D______.</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2.2</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(ATF 119 Ia 332 consid. 1b p. 334 ; ATF 116 Ia 162 consid. 2c p. 168 ; ATF 144 IV 202 consid. 2.2 ; arrêts du Tribunal fédéral 6B_556/2017 du 15 mars 2018 consid. 2.1 ; 6B_301/2017 du 20 février 2018 consid. 1.1).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ss; arrêt 6B_301/2017 précité consid. 1.1). La mise des frais à la charge du prévenu en cas d'acquittement ou de classement de la procédure doit en effet rester l'exception (ATF 144 IV 202 consid. 2.2 p. 204 s. et les références citées).</w:t>
      </w:r>
    </w:p>
    <w:p>
      <w:r>
        <w:rPr>
          <w:b/>
        </w:rPr>
        <w:t>E. 2.3</w:t>
      </w:r>
    </w:p>
    <w:p>
      <w:r>
        <w:t>En l'espèce, à titre liminaire, le Ministère public se fourvoie en appliquant les dispositions du crédit à la consommation à la transaction judiciaire du 29 janvier</w:t>
      </w:r>
    </w:p>
    <w:p>
      <w:r>
        <w:t>- 7/10 - P/15602/2015 2015. Celle-ci revêt une valeur de jugement exécutoire et son non-respect implique des règles et des conséquences propres. Au moment du dépôt de la plainte de D______, la transaction judiciaire du 29 janvier 2015 avait déjà pour vocation de résoudre, à l'amiable, le litige qui opposait les parties en lien avec les prêts octroyés par le prénommé, y compris la question de l'identité du bénéficiaire ultime des sommes octroyées. Or, ladite transaction a été conclue entre le plaignant et F______ SA. La deuxième, en son nom et pour son propre compte, s'y était engagée à verser un montant déterminé au premier, ce qu'elle n'a pu qu'exécuter partiellement avant de tomber en faillite. Ces circonstances, en somme ordinaires dans un contexte de litige civil et qui apparaissaient d'emblée à la lecture de la plainte, n'appelaient pas l'ouverture d'une instruction pénale. Un premier examen moins précipité des faits dénoncés aurait ainsi permis au Ministère public d'aboutir à cette conclusion dès sa réception de la plainte, et ce n'est d'ailleurs pas un hasard s'il y est finalement parvenu après l'audition du plaignant, malgré qu'il lui aura fallu plus de trois ans pour l'entendre et ainsi se forger son avis. Il en résulte que le chiffre 2 du dispositif de l'ordonnance querellée sera annulé et que les frais de la première instance seront laissés à la charge de l'État.</w:t>
      </w:r>
    </w:p>
    <w:p>
      <w:r>
        <w:rPr>
          <w:b/>
        </w:rPr>
        <w:t>E. 3</w:t>
      </w:r>
    </w:p>
    <w:p>
      <w:r>
        <w:t>La recourante n'obtient gain de cause que sur l'un de ses deux griefs. Elle sera ainsi condamnée à la moitié des frais liés aux présent arrêt, fixés en totalité à CHF 900.- (art. 13 al. 1 let. c du règlement fixant le tarif des frais en matière pénale, RTFMP; E 4 10.03).</w:t>
      </w:r>
    </w:p>
    <w:p>
      <w:r>
        <w:rPr>
          <w:b/>
        </w:rPr>
        <w:t>E. 4</w:t>
      </w:r>
    </w:p>
    <w:p>
      <w:r>
        <w:t>Il convient de fixer l'indemnisation de l'avocat d'office pour la procédure de recours.</w:t>
      </w:r>
    </w:p>
    <w:p>
      <w:r>
        <w:rPr>
          <w:b/>
        </w:rPr>
        <w:t>E. 4.1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110.- pour un avocat stagiaire, de CHF 150.- pour un collaborateur et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4.2</w:t>
      </w:r>
    </w:p>
    <w:p>
      <w:r>
        <w:t>En l'espèce, considérant le recours (huit pages), la réplique (quatre pages) et le sort partiellement favorable réservé aux griefs invoqués, quatre heures trente d'activité globale au tarif horaire de CHF 200.- apparaissent adéquates et seront rémunérées. L'indemnité sera alors arrêtée à CHF 963.30, TVA (7.7%) incluse.</w:t>
      </w:r>
    </w:p>
    <w:p>
      <w:r>
        <w:t>- 8/10 - P/15602/2015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