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ACPR/134/2025 vom 19. September 2024</w:t>
      </w:r>
    </w:p>
    <w:p>
      <w:r>
        <w:t>GE Cour de justice, 2024-09-19, FR</w:t>
      </w:r>
    </w:p>
    <w:p>
      <w:r>
        <w:rPr>
          <w:b/>
        </w:rPr>
        <w:t xml:space="preserve">Quelle: </w:t>
      </w:r>
      <w:r>
        <w:t>https://mcp.opencaselaw.ch/entscheid/ge_gerichte_ACPR_134_2025</w:t>
      </w:r>
    </w:p>
    <w:p>
      <w:r>
        <w:t>FR: GE_GERICHTE ACPR/134/2025 du 19 septembre 2024</w:t>
      </w:r>
    </w:p>
    <w:p>
      <w:r>
        <w:t>IT: GE_GERICHTE ACPR/134/2025 del 19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soutient ne pas avoir eu connaissance de l'ordonnance pénale n. 1______ lors de sa notification en juin 2022.</w:t>
      </w:r>
    </w:p>
    <w:p>
      <w:r>
        <w:rPr>
          <w:b/>
        </w:rPr>
        <w:t>E. 2.1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2.2</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2.3</w:t>
      </w:r>
    </w:p>
    <w:p>
      <w:r>
        <w:t>Les communications écrites des autorités pénales sont en général notifiées par pli recommandé (art. 85 al. 2 CPP).</w:t>
      </w:r>
    </w:p>
    <w:p>
      <w:r>
        <w:t>- 5/10 - P/17907/2024 2.4.1. 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 2.4.2. 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w:t>
      </w:r>
    </w:p>
    <w:p>
      <w:r>
        <w:rPr>
          <w:b/>
        </w:rPr>
        <w:t>E. 2.5</w:t>
      </w:r>
    </w:p>
    <w:p>
      <w:r>
        <w:t>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Tel est le cas lorsque la personne concernée est au courant qu'elle fait l'objet d'une instruction pénale au sens de l'art. 309 CPP (ATF 146 IV 30 consid. 1.1.2 ; arrêt du Tribunal fédéral 6B_448/2024 du 19 septembre 2024 consid. 3.2.2).</w:t>
      </w:r>
    </w:p>
    <w:p>
      <w:r>
        <w:rPr>
          <w:b/>
        </w:rPr>
        <w:t>E. 2.6</w:t>
      </w:r>
    </w:p>
    <w:p>
      <w:r>
        <w:t>Le fardeau de la preuve de la notification et de la date de celle-ci incombe en principe à l'autorité qui entend en tirer une conséquence juridique (ATF 129 I 8 consid. 2.2; arrêts du Tribunal fédéral 6B_876/2013 du 6 mars 2014 consid. 2.3.2;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103 V 63 consid. 2a p. 66; arrêt du Tribunal fédéral 6B_955/2008 du 17 mars 2009 consid. 1).</w:t>
      </w:r>
    </w:p>
    <w:p>
      <w:r>
        <w:rPr>
          <w:b/>
        </w:rPr>
        <w:t>E. 2.7</w:t>
      </w:r>
    </w:p>
    <w:p>
      <w:r>
        <w:t>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2.8</w:t>
      </w:r>
    </w:p>
    <w:p>
      <w:r>
        <w:t>La partie concernée ne peut cependant pas retarder ce moment selon son bon vouloir ; en vertu du principe de la bonne foi, elle est tenue de se renseigner sur</w:t>
      </w:r>
    </w:p>
    <w:p>
      <w:r>
        <w:t>- 6/10 - P/17907/2024 l'existence et le contenu de la décision dès qu'elle peut en soupçonner l'existence, à défaut de quoi elle risque de se faire opposer l'irrecevabilité de son recours pour cause de tardiveté (ATF 139 IV 228 consid. 1.3; arrêt du Tribunal fédéral 6B_552/2015 du</w:t>
      </w:r>
    </w:p>
    <w:p>
      <w:r>
        <w:rPr>
          <w:b/>
        </w:rPr>
        <w:t>E. 2.9</w:t>
      </w:r>
    </w:p>
    <w:p>
      <w:r>
        <w:t>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rPr>
          <w:b/>
        </w:rPr>
        <w:t>E. 2.10</w:t>
      </w:r>
    </w:p>
    <w:p>
      <w:r>
        <w:t>En l'espèce, l'ordonnance pénale a été expédiée en mai 2022 à la recourante, par pli recommandé à l'adresse de B______, en France, que la précitée ne conteste pas avoir été celle – valable – de son domicile à l'époque. Selon le suivi postal, ce pli recommandé n'a pas été délivré, deux tentatives de distribution étant restées infructueuses. L'envoi a donc été retourné à l'expéditeur. Se pose dès lors la question de savoir si la recourante, qui n'a pas été atteinte par cet envoi, peut se voir opposer la fiction de la notification prévue à l'art. 85 al. 4 let. a CPP, ce qui suppose qu'elle eût dû s'attendre à la remise d'un prononcé. En l'occurrence, avant l'envoi de l'ordonnance pénale, le SdC avait adressé à la recourante, en mars 2022, un avis au détenteur, l'informant de l'infraction commise au moyen de son véhicule, le 13 février 2022, et lui donnant la possibilité de dénoncer l'auteur, faute de quoi une ordonnance pénale serait rendue contre elle, en sa qualité de détentrice. Cette lettre, qui a été envoyée sous pli simple, n'a pas été retournée à l'expéditeur. On peut se demander si l'application du principe retenu en matière de procédure simplifiée des amendes d'ordre (cf. ATF 145 IV 252 et arrêt du Tribunal fédéral 6B_618/2019 du 27 juin 2019 consid. 2.1) ne devrait pas conduire à considérer que la recourante a été atteinte par ce premier envoi – auquel cas elle devait s'attendre à recevoir une ordonnance pénale –, dès lors que l'avis au détenteur, pour une contravention, est similaire aux envois du SdC en matière d'amende d'ordre. Cette question peut toutefois demeurer indécise en l'espèce, au vu de ce qui suit. La recourante allègue que son "ex-compagnon", domicilié à la même adresse, aurait détruit les "courriels officiels" en lien avec la présente affaire, sans l'en informer, de sorte qu'elle n'en avait pas eu connaissance. Si l'on peut encore concevoir que son compagnon d'alors, selon elle auteur de l'infraction, ait intercepté, dans la boîte aux lettres, l'avis de retrait du pli recommandé contenant l'ordonnance pénale et les lettres envoyées sous pli simple – avant et après cette décision – par les autorités pénales, il paraît plus douteux que le pli recommandé contenant l'ordonnance de conversion, distribué le 8 décembre 2023, ait été remis à une autre personne que sa destinataire, ce d'autant que la carte d'identité produite</w:t>
      </w:r>
    </w:p>
    <w:p>
      <w:r>
        <w:t>- 7/10 - P/17907/2024 établit que D______ était domicilié à F______, soit à une autre adresse que celles de la recourante, qu'il s'agisse de la première, à B______, ou de la seconde, à E______. Par conséquent, la recourante ne rend pas vraisemblable que son désormais "ex- compagnon" – qui habiterait toujours avec elle – aurait détruit à son insu tous les plis en lien avec l'infraction du 13 février 2024. Elle ne dit d'ailleurs pas le contraire, dans son recours, lorsqu'elle écrit que les courriers relatifs à la présente affaire n'avaient, "pour la plupart", pas été portés à sa connaissance. Il s'ensuit que, même si elle n'avait pas pu prendre connaissance de l'ordonnance pénale, en juin 2022, elle a été informée, à réception de l'ordonnance de conversion d'amende, le 8 décembre 2023, de l'existence de cette décision antérieure. Il lui appartenait dès lors, à cette date, conformément au principe de la bonne foi sus-rappelé, d'entamer les démarches nécessaires pour prendre connaissance du contenu de l'ordonnance pénale, ce qu'elle n'a fait qu'en juillet 2024, à réception de la lettre du SAPEM l'informant de sa prochaine arrestation si elle ne payait pas l'amende. Par conséquent, formée sept mois après la réception, le 8 décembre 2023, de l'ordonnance de conversion de peine faisant référence à l'ordonnance pénale du 20 mai 2022, l'opposition à cette dernière est tardive. Ce constat dispense de renvoyer le dossier pour examen d'une éventuelle demande de restitution de délai, puisqu'il n'y a pas de place pour une autre conclusion.</w:t>
      </w:r>
    </w:p>
    <w:p>
      <w:r>
        <w:t>- 8/10 - P/17907/2024</w:t>
      </w:r>
    </w:p>
    <w:p>
      <w:r>
        <w:rPr>
          <w:b/>
        </w:rPr>
        <w:t>E. 3</w:t>
      </w:r>
    </w:p>
    <w:p>
      <w:r>
        <w:t>Le recours sera dès lors rejeté.</w:t>
      </w:r>
    </w:p>
    <w:p>
      <w:r>
        <w:rPr>
          <w:b/>
        </w:rPr>
        <w:t>E. 4</w:t>
      </w:r>
    </w:p>
    <w:p>
      <w:r>
        <w:t>La recourante, qui succombe, supportera les frais envers l'État, qui seront fixés en totalité à CHF 200.- (art. 428 al. 1 CPP et 13 al. 1 du Règlement fixant le tarif des frais en matière pénale, RTFMP ; E 4 10.03). * * * * *</w:t>
      </w:r>
    </w:p>
    <w:p>
      <w:r>
        <w:t>- 9/10 - P/17907/2024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