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ACPR/133/2023 vom 28. Juni 2022</w:t>
      </w:r>
    </w:p>
    <w:p>
      <w:r>
        <w:t>GE Cour de justice, 2022-06-28, FR</w:t>
      </w:r>
    </w:p>
    <w:p>
      <w:r>
        <w:rPr>
          <w:b/>
        </w:rPr>
        <w:t xml:space="preserve">Quelle: </w:t>
      </w:r>
      <w:r>
        <w:t>https://mcp.opencaselaw.ch/entscheid/ge_gerichte_ACPR_133_2023</w:t>
      </w:r>
    </w:p>
    <w:p>
      <w:r>
        <w:t>FR: GE_GERICHTE ACPR/133/2023 du 28 juin 2022</w:t>
      </w:r>
    </w:p>
    <w:p>
      <w:r>
        <w:t>IT: GE_GERICHTE ACPR/133/2023 del 28 giugno 2022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d'avoir omis d'évoquer l'expertise privée remise à la police.</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135 I 265 consid. 4.3 p. 276). Il y a violation de ce droit si l'autorité ne satisfait pas à son devoir minimum d'examiner les problèmes pertinents (ATF 141 V 557 consid. 3.2.1 p. 565; arrêt du Tribunal fédéral 6B_28/2011 du 7 avril 2011). L'autorité intimée n'a pas l'obligation d'exposer et de discuter tous les faits, moyens de preuve et griefs invoqués par les parties, mais elle peut au contraire se limiter à ceux qui n'apparaissent pas d'emblée dépourvus de pertinence (ATF 130 II 530 consid. 4.3 p. 540). Une autorité se rend toutefois coupable d'un déni de justice formel prohibé par l'art. 29 al. 2 Cst. si elle omet de se prononcer sur des griefs qui présentent une certaine pertinence ou de prendre en considération des allégués et arguments importants pour la décision à prendre (ATF 138 V 125 consid. 2.1 p. 127; 133 III 235 consid. 5.2 p. 248; arrêt du Tribunal fédéral 1B_524/2012 du 15 novembre 2012 consid. 2.1).</w:t>
      </w:r>
    </w:p>
    <w:p>
      <w:r>
        <w:t>- 5/10 - P/7992/2021</w:t>
      </w:r>
    </w:p>
    <w:p>
      <w:r>
        <w:rPr>
          <w:b/>
        </w:rPr>
        <w:t>E. 2.2</w:t>
      </w:r>
    </w:p>
    <w:p>
      <w:r>
        <w:t>Le droit d'être entendu est une garantie constitutionnelle de caractère formel, dont la violation doit entraîner l'annulation de la décision, indépendamment des chances de succès du recours sur le fond (ATF 135 I 187 consid. 2.2 p. 190). 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p. 197; 136 V 117 consid. 4.2.2.2 p. 126).</w:t>
      </w:r>
    </w:p>
    <w:p>
      <w:r>
        <w:rPr>
          <w:b/>
        </w:rPr>
        <w:t>E. 2.3</w:t>
      </w:r>
    </w:p>
    <w:p>
      <w:r>
        <w:t>En l'occurrence, il est exact que le Ministère public ne mentionne pas l'expertise privée dans l'ordonnance querellée, bien que ce document figurait au dossier. La question de savoir si cela constitue un déni de justice formel peut toutefois souffrir de rester indécise, en tant que l'autorité intimée a complété, dans ses observations, son raisonnement, exposant que ladite expertise n'était pas apte à fonder une prévention pénale à l'égard des mis en cause. Pour le surplus, la violation alléguée du droit d'être entendu aura ici été réparée, étant encore rappelé que la Chambre de céans dispose d'un plein pouvoir de cognition en droit, en fait et en opportunité (art. 393 al. 2 CPP) (ATF 137 I 195 consid. 2.3.2 p. 197).</w:t>
      </w:r>
    </w:p>
    <w:p>
      <w:r>
        <w:rPr>
          <w:b/>
        </w:rPr>
        <w:t>E. 3</w:t>
      </w:r>
    </w:p>
    <w:p>
      <w:r>
        <w:t>Le recourant reproche au Ministère public de ne pas avoir ouvert une instruction. 3.1.1. 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w:t>
      </w:r>
    </w:p>
    <w:p>
      <w:r>
        <w:t>- 6/10 - P/7992/2021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A. KUHN / C. PERRIER DEPEURSINGE (éds), Commentaire romand: Code de procédure pénale suisse, 2e éd., Bâle 2019, n. 9 ad art. 310; R. PFISTER-LIECHTI (éd.), La procédure pénale fédérale, Fondation pour la formation continue des juges suisses, Berne 2010, p. 62). 3.1.2. Une non-entrée en matière doit également être rendue lorsqu'il existe un empêchement de procéder, par exemple lorsque le délai pour déposer plainte prévu par l'art. 31 CP n'a pas été respecté (art. 310 al. 1 let. b CPP; arrêt du Tribunal fédéral 6B_848/2018 du 4 décembre 2018 consid. 1.5).</w:t>
      </w:r>
    </w:p>
    <w:p>
      <w:r>
        <w:rPr>
          <w:b/>
        </w:rPr>
        <w:t>E. 3.2</w:t>
      </w:r>
    </w:p>
    <w:p>
      <w:r>
        <w:t>Selon l'art. 31 CP, le droit de porter plainte se prescrit par trois mois. Le délai court du jour où l'ayant droit a connu l'auteur de l'infraction. 3.3.1. Selon l'art. 137 ch. 1 CP, se rend coupable d'appropriation illégitime celui qui, pour se procurer ou procurer à un tiers un enrichissement illégitime, se sera approprié une chose mobilière appartenant à autrui. Si l'auteur a agi au préjudice d'un proche ou sans dessein d'enrichissement illégitime, l'infraction ne sera poursuivie que sur plainte (art. 137 ch. 2 al. 2 CP). 3.3.2.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(art. 143bis ch. 1 CP). 3.3.3.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w:t>
      </w:r>
    </w:p>
    <w:p>
      <w:r>
        <w:t>- 7/10 - P/7992/2021 biais du résultat inexact ainsi obtenu, provoqué un transfert d’actifs au préjudice d’autrui ou l’aura dissimulé aussitôt après sera puni d’une peine privative de liberté de cinq ans au plus ou d’une peine pécuniaire (art. 147 ch. 1 CP). L’utilisation frauduleuse d’un ordinateur au préjudice des proches ou des familiers ne sera poursuivie que sur plainte (art. 147 ch. 3 CP). 3.3.4. L'art. 179bis CP punit sur plainte, celui qui, sans le consentement de tous les participants, aura écouté à l'aide d'un appareil d'écoute ou enregistré sur un porteur de son une conversation non publique entre d'autres personnes (al. 1), tiré profit ou donné connaissance à un tiers d'un fait qu'il savait ou devait présumer être parvenu à sa propre connaissance au moyen d'une infraction visée à l'al. 1 (al. 2), ou conservé ou rendu accessible à un tiers un enregistrement qu'il savait ou devait présumer avoir été réalisé au moyen d'une infraction visée à l'al. 1 (al. 3). 3.3.5. Celui qui aura soustrait d’un fichier des données personnelles sensibles ou des profils de la personnalité qui ne sont pas librement accessibles sera, sur plainte, puni d’une peine privative de liberté de trois ans au plus ou d’une peine pécuniaire (art. 179novies CP). La personne qui, intentionnellement, aura révélé d’une manière illicite des données personnelles secrètes et sensibles ou des profils de la personnalité portés à sa connaissance dans l’exercice d’une profession qui requiert la connaissance de telles données, est, sur plainte, punie de l’amende (art. 35 al. 1 LPD). La révélation illicite de données personnelles secrètes et sensibles ou de profils de la personnalité demeure punissable alors même que les rapports de travail ou de formation ont pris fin (art. 35 al. 3 LPD).</w:t>
      </w:r>
    </w:p>
    <w:p>
      <w:r>
        <w:rPr>
          <w:b/>
        </w:rPr>
        <w:t>E. 3.4</w:t>
      </w:r>
    </w:p>
    <w:p>
      <w:r>
        <w:t>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(art. 102 al. 1 CP). En cas d’infraction prévue aux art. 260ter, 260quinquies, 305bis, 322ter, 322quinquies, 322septies, al. 1, ou 322octies, l’entreprise est punie indépendamment de la punissabilité des personnes physiques s’il doit lui être reproché de ne pas avoir pris toutes les mesures d’organisation raisonnables et nécessaires pour empêcher une telle infraction (art. 102 al. 2 CP).</w:t>
      </w:r>
    </w:p>
    <w:p>
      <w:r>
        <w:rPr>
          <w:b/>
        </w:rPr>
        <w:t>E. 3.5</w:t>
      </w:r>
    </w:p>
    <w:p>
      <w:r>
        <w:t>En l'espèce, l'infraction d'accès indu à un système informatique peut être d'emblée exclue, le délai de trois mois pour le dépôt de plainte n'ayant pas été respecté.</w:t>
      </w:r>
    </w:p>
    <w:p>
      <w:r>
        <w:t>- 8/10 - P/7992/2021 En effet, les deux incidents dénoncés par le recourant remontent au mois de janvier 2020, respectivement septembre 2020, et, malgré les actions entreprises par celui-ci, il ne les a pas dénoncés pénalement. Il était par conséquent forclos au moment du dépôt de sa plainte le 13 avril 2021. Ensuite, le recourant met en cause une personne morale pour des infractions non comprises dans la liste de l'art. 102 al. 2 CP. Il n'allègue pas non plus – ni, a fortiori ne démontre – un manque d'organisation empêchant d'identifier les auteurs de celles dénoncées, accusant au contraire directement deux personnes physiques membres de la société. Il s'ensuit que les conditions pour une responsabilité pénale de B______ SA ne sont pas réalisées. Pour le surplus, aucun élément concret n'établit un lien entre les deux autres mis en cause et les agissements dénoncés, le recourant n'avançant que ses soupçons personnels. De son propre aveu, il ne se souvient pas de l'origine de la voiture "espion" qui se trouvait dans son bureau. Par ailleurs, les développements contenus dans l'expertise privée – laquelle n'ayant au demeurant la valeur que d'un simple allégué (ATF 142 II 355 consid. 6 p. 359) – désignent un large cercle de potentiels auteurs. Rien ne permet non plus de conclure que les mis en cause étaient présents lors de l'empaquetage de ses affaires personnelles par une entreprise de déménagement, ni qu'ils auraient ordonné la saisie de documents lui appartenant. Tout au plus, ils ont, tous les deux, déclaré qu'un contrat avait été retrouvé fortuitement après son départ, ce qui ne suffit à fonder une quelconque prévention pénale. La plainte apparaît ainsi infondée, en l'absence d'élément probant permettant d'imputer un quelconque rôle des mis en cause avec les actes dénoncés.</w:t>
      </w:r>
    </w:p>
    <w:p>
      <w:r>
        <w:rPr>
          <w:b/>
        </w:rPr>
        <w:t>E. 4</w:t>
      </w:r>
    </w:p>
    <w:p>
      <w:r>
        <w:t>Justifiée, l'ordonnance querellée sera donc confirmée.</w:t>
      </w:r>
    </w:p>
    <w:p>
      <w:r>
        <w:rPr>
          <w:b/>
        </w:rPr>
        <w:t>E. 5</w:t>
      </w:r>
    </w:p>
    <w:p>
      <w:r>
        <w:t>Le recourant, qui succombe, supporter les frais envers l'État, fixés en intégralité à CHF 900.- (art. 428 al. 1 CPP et 13 al. 1 du Règlement fixant le tarif des frais en matière pénale, RTFMP ; E 4 10.03). * * * * *</w:t>
      </w:r>
    </w:p>
    <w:p>
      <w:r>
        <w:t>- 9/10 - P/7992/2021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