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ACPR/132/2025 vom 4. Dezember 2024</w:t>
      </w:r>
    </w:p>
    <w:p>
      <w:r>
        <w:t>GE Cour de justice, 2024-12-04, FR</w:t>
      </w:r>
    </w:p>
    <w:p>
      <w:r>
        <w:rPr>
          <w:b/>
        </w:rPr>
        <w:t xml:space="preserve">Quelle: </w:t>
      </w:r>
      <w:r>
        <w:t>https://mcp.opencaselaw.ch/entscheid/ge_gerichte_ACPR_132_2025</w:t>
      </w:r>
    </w:p>
    <w:p>
      <w:r>
        <w:t>FR: GE_GERICHTE ACPR/132/2025 du 4 décembre 2024</w:t>
      </w:r>
    </w:p>
    <w:p>
      <w:r>
        <w:t>IT: GE_GERICHTE ACPR/132/2025 del 4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Les indices relatifs à la commission d'une infraction impliquant l'ouverture d'une instruction doivent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du Tribunal fédéral 6B_488/2021 du 22 décembre 2021 consid. 5.3; 6B_212/2020 du 21 avril 2021 consid. 2.2; 6B_196/2020 du 14 octobre 2020 consid. 3.1).</w:t>
      </w:r>
    </w:p>
    <w:p>
      <w:r>
        <w:rPr>
          <w:b/>
        </w:rPr>
        <w:t>E. 2.2</w:t>
      </w:r>
    </w:p>
    <w:p>
      <w:r>
        <w:t>Se rend coupable de violation de domicile (art. 186 CP) quiconque, d’une manière illicite et contre la volonté de l’ayant droit, pénètre dans une maison, dans une habitation, dans un local fermé faisant partie d’une maison, dans un espace, cour ou</w:t>
      </w:r>
    </w:p>
    <w:p>
      <w:r>
        <w:t>- 4/7 - P/27850/2024 jardin clos et attenant à une maison, ou dans un chantier, ou y demeure au mépris de l’injonction de sortir à lui adressée par un ayant droit.</w:t>
      </w:r>
    </w:p>
    <w:p>
      <w:r>
        <w:rPr>
          <w:b/>
        </w:rPr>
        <w:t>E. 2.3</w:t>
      </w:r>
    </w:p>
    <w:p>
      <w:r>
        <w:t>L’art. 143bis al. 1 CP réprime, sur plainte, quiconque s'introduit, sans droit, au moyen d'un dispositif de transmission de données, dans un système informatique appartenant à autrui et spécialement protégé contre tout accès de sa part.</w:t>
      </w:r>
    </w:p>
    <w:p>
      <w:r>
        <w:rPr>
          <w:b/>
        </w:rPr>
        <w:t>E. 2.4</w:t>
      </w:r>
    </w:p>
    <w:p>
      <w:r>
        <w:t>En l'espèce, point n'est besoin d'examiner si la plainte est tardive, compte tenu de ce qui suit. La recourante soutient qu'un ou des individu(s) se seraient introduits de manière indue dans le système de surveillance installé chez elle et auraient également pénétré dans son domicile, à son insu. Aucun des éléments matériels qu'elle produit à cet égard n'est susceptible d'étayer ses soupçons. Des photographies d'objets "légèrement déplacés" et des enregistrements audio – dans "une bâtisse" – de bruits de porte qui se ferme ou s'ouvre ne sont pas suffisants pour fonder une quelconque prévention pénale. S'agissant des défaillances du système de sécurité, rien ne permet de conclure qu'elles seraient dues à une intervention humaine et volontaire. Pour le surplus, le litige sur ce volet relève du droit contractuel.</w:t>
      </w:r>
    </w:p>
    <w:p>
      <w:r>
        <w:rPr>
          <w:b/>
        </w:rPr>
        <w:t>E. 3</w:t>
      </w:r>
    </w:p>
    <w:p>
      <w:r>
        <w:t>Justifiée, l'ordonnance querellée sera donc confirmée. Le recours, qui s'avère infondé, pouvait d'emblée être traité sans échange d'écritures, ni débats (art. 390 al. 2 et 5 a contrario CPP).</w:t>
      </w:r>
    </w:p>
    <w:p>
      <w:r>
        <w:rPr>
          <w:b/>
        </w:rPr>
        <w:t>E. 4</w:t>
      </w:r>
    </w:p>
    <w:p>
      <w:r>
        <w:t>La recourante sollicite l'assistance judiciaire gratuite pour la procédure de recours.</w:t>
      </w:r>
    </w:p>
    <w:p>
      <w:r>
        <w:rPr>
          <w:b/>
        </w:rPr>
        <w:t>E. 4.1</w:t>
      </w:r>
    </w:p>
    <w:p>
      <w:r>
        <w:t>À teneur de l'art. 136 al. 1 let. a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4.2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4.3</w:t>
      </w:r>
    </w:p>
    <w:p>
      <w:r>
        <w:t>En l'occurrence, le recours étant complet, la demande de la recourante ne pouvait porter que sur l'exonération des frais de procédure.</w:t>
      </w:r>
    </w:p>
    <w:p>
      <w:r>
        <w:t>- 5/7 - P/27850/2024 Quoiqu'il en soit, sans même examiner la question de l'indigence, force est de retenir que le recours était voué à l'échec pour les motifs exposés plus haut, de sorte que les conditions pour l'octroi de l'assistance judiciaire ne sont pas remplies. La demande sera, partant, rejetée.</w:t>
      </w:r>
    </w:p>
    <w:p>
      <w:r>
        <w:rPr>
          <w:b/>
        </w:rPr>
        <w:t>E. 5</w:t>
      </w:r>
    </w:p>
    <w:p>
      <w:r>
        <w:t>La recourante, qui succombe, supportera les frais envers l'État, fixés en intégralité à CHF 600.- (art. 428 al. 1 CPP et 13 al. 1 du Règlement fixant le tarif des frais en matière pénale, RTFMP; E 4 10.03). Le refus d'octroi de l'assistance juridique gratuite est, quant à lui, rendu sans frais (art. 20 RAJ). * * * * *</w:t>
      </w:r>
    </w:p>
    <w:p>
      <w:r>
        <w:t>- 6/7 - P/27850/2024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