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ACPR/132/2020 vom 26. September 2019</w:t>
      </w:r>
    </w:p>
    <w:p>
      <w:r>
        <w:t>GE Cour de justice, 2019-09-26, FR</w:t>
      </w:r>
    </w:p>
    <w:p>
      <w:r>
        <w:rPr>
          <w:b/>
        </w:rPr>
        <w:t xml:space="preserve">Quelle: </w:t>
      </w:r>
      <w:r>
        <w:t>https://mcp.opencaselaw.ch/entscheid/ge_gerichte_ACPR_132_2020</w:t>
      </w:r>
    </w:p>
    <w:p>
      <w:r>
        <w:t>FR: GE_GERICHTE ACPR/132/2020 du 26 septembre 2019</w:t>
      </w:r>
    </w:p>
    <w:p>
      <w:r>
        <w:t>IT: GE_GERICHTE ACPR/132/2020 del 26 settembre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 L'art. 29 CPP peut être considéré comme une règle d'ordre. La stricte mise en œuvre du principe d'unité est trop souvent aléatoire et les personnes poursuivies ne pourront pas invoquer ce principe pour en tirer un véritable droit (Y. JEANNERET / A. KUHN / C. PERRIER DEPEURSINGE (éds), Commentaire romand : Code de procédure pénale suisse, 2ème éd., Bâle 2019, n. 4 ad art. 29). Le principe d'unité de la procédure découle déjà de l'art. 49 CP et, sous réserve d'exceptions, s'applique à toutes les situations où plusieurs infractions, respectivement plusieurs personnes, doivent être jugées ensemble (A. KUHN / Y. JEANNERET (éds), op. cit., n. 1 ad art. 29). Ce principe tend à éviter les jugements contradictoires quant à l'état de fait, l'appréciation juridique ou la quotité de la peine. Il sert en outre l'économie de la procédure (ATF 138 IV 214 consid. 3 ; 138 IV 29 consid. 3.2).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Bâle 2016, n. 3 ad art. 29).</w:t>
      </w:r>
    </w:p>
    <w:p>
      <w:r>
        <w:rPr>
          <w:b/>
        </w:rPr>
        <w:t>E. 2.2</w:t>
      </w:r>
    </w:p>
    <w:p>
      <w:r>
        <w:t>L'art. 30 CPP prévoit la possibilité de déroger au principe de l'unité de la procédure. Cette faculté entraîne une extension de l'unité de la procédure à d'autres situations que celles visées l'art. 29 CPP (ACPR/133/2013 du 10 avril 2013 ; A. KUHN / Y. JEANNERET, op. cit., n. 3 ad art. 30). Une telle dérogation exige</w:t>
      </w:r>
    </w:p>
    <w:p>
      <w:r>
        <w:t>- 6/9 - P/14383/2019 toutefois des raisons objectives, ce qui exclut de se fonder, par exemple, sur de simples motifs de commodité (Ibid., n. 2 ad art. 30). Une violation du principe de célérité constitue un motif objectif permettant de renoncer à juger conjointement plusieurs coauteurs (arrêt du Tribunal fédéral 1B_684/2011 et 1B_686/2011 du 21 décembre 2011 consid. 3.2). La disjonction des causes en vertu de l'art. 30 CPP doit cependant rester l'exception et l'unité de la procédure la règle, dans un but d'économie de procédure, d'une part, mais aussi afin de prévenir le prononcé de décisions contraires, d'autre part. Une étroite connexité entre différentes infractions plaide également pour une jonction au sens de l'art. 30 CPP. Elle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devaient être instruites par un seul Ministère public, en l'occurrence extraordinaire (ATF 138 IV 29 consid. 5.5 ; ACPR/654/2016 du 13 octobre 2016).</w:t>
      </w:r>
    </w:p>
    <w:p>
      <w:r>
        <w:rPr>
          <w:b/>
        </w:rPr>
        <w:t>E. 2.3</w:t>
      </w:r>
    </w:p>
    <w:p>
      <w:r>
        <w:t>En l'espèce, la surveillance active du raccordement de D______ a mis en évidence des contacts, liés au trafic de stupéfiants, entre le précité et H______. La surveillance active de ce dernier a, ensuite, permis de constater que ce dernier était en relation, pour le commerce de stupéfiants, avec A______ et I______ (cf. B.f. et B.g. supra), qui ont été arrêtés en possession de cocaïne le 14 août 2019. Lors de son audition par la police, H______ a admis avoir acheté de la cocaïne à D______, ainsi qu'à A______ et I______. Il a en outre déclaré avoir appris de G______ – lequel a été arrêté le 9 mai 2019 en possession de cocaïne (cf. B.d. supra) – que A______ importait ce stupéfiant en Suisse. Il a confirmé ses dires lors de l'audience du 25 septembre 2019, devant le Ministère public, à laquelle assistait A______, lequel a préféré garder le silence. Ce n'est qu'à l'audience subséquente, du 14 octobre 2019, que H______ est revenu sur ses déclarations à l'égard de A______, expliquant avoir, entretemps, réfléchi, et que c'était "pire maintenant car [il voyait] ces personnes". Il appartiendra au juge du fond d'évaluer les variations dans les déclarations de H______. En l'état, il existe des raisons objectives suffisantes, au vu du contenu des surveillances actives sur les raccordements de D______ et H______, ainsi que des premières déclarations de ce dernier à la police et au Ministère public, de retenir un lien suffisant entre les divers intervenants au trafic de cocaïne démantelé – parmi lesquels le recourant – pour justifier que les faits qui leur sont reprochés fassent l'objet d'une seule instruction et, le moment venu, que les prévenus soient tous renvoyés ensemble en jugement.</w:t>
      </w:r>
    </w:p>
    <w:p>
      <w:r>
        <w:t>- 7/9 - P/14383/2019 Le principe de l'unité de la procédure prime donc l'intérêt individuel du recourant à vouloir être renvoyé en jugement séparément. Le Ministère public ayant prévu prochainement l'audience finale, l'instruction paraît arriver à son terme, de sorte que le principe de la célérité est également respecté.</w:t>
      </w:r>
    </w:p>
    <w:p>
      <w:r>
        <w:rPr>
          <w:b/>
        </w:rPr>
        <w:t>E. 3</w:t>
      </w:r>
    </w:p>
    <w:p>
      <w:r>
        <w:t>Justifiée, l'ordonnance querellée sera donc confirmée.</w:t>
      </w:r>
    </w:p>
    <w:p>
      <w:r>
        <w:rPr>
          <w:b/>
        </w:rPr>
        <w:t>E. 4</w:t>
      </w:r>
    </w:p>
    <w:p>
      <w:r>
        <w:t>Le recourant, qui succombe, supportera les frais envers l'État, qui seront arrêtés en totalité à CHF 900.- (art. 428 al. 1 CPP et 13 al. 1 du Règlement fixant le tarif des frais en matière pénale, RTFMP ; E 4 10.03). * * * * *</w:t>
      </w:r>
    </w:p>
    <w:p>
      <w:r>
        <w:t>- 8/9 - P/14383/2019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