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ACPR/131/2025 vom 16. Juli 2024</w:t>
      </w:r>
    </w:p>
    <w:p>
      <w:r>
        <w:t>GE Cour de justice, 2024-07-16, FR</w:t>
      </w:r>
    </w:p>
    <w:p>
      <w:r>
        <w:rPr>
          <w:b/>
        </w:rPr>
        <w:t xml:space="preserve">Quelle: </w:t>
      </w:r>
      <w:r>
        <w:t>https://mcp.opencaselaw.ch/entscheid/ge_gerichte_ACPR_131_2025</w:t>
      </w:r>
    </w:p>
    <w:p>
      <w:r>
        <w:t>FR: GE_GERICHTE ACPR/131/2025 du 16 juillet 2024</w:t>
      </w:r>
    </w:p>
    <w:p>
      <w:r>
        <w:t>IT: GE_GERICHTE ACPR/131/2025 del 16 luglio 2024</w:t>
      </w:r>
    </w:p>
    <w:p>
      <w:pPr>
        <w:pStyle w:val="Heading2"/>
      </w:pPr>
      <w:r>
        <w:t>Erwägungen</w:t>
      </w:r>
    </w:p>
    <w:p>
      <w:r>
        <w:rPr>
          <w:b/>
        </w:rPr>
        <w:t>E. 1</w:t>
      </w:r>
    </w:p>
    <w:p>
      <w:r>
        <w:t>Le recours est recevable pour avoir été déposé selon la forme et dans le délai prescrits (art. 91 al. 4, 385 al. 1 et 396 al. 1 CPP cum art. 3 al. 1 et 39 al. 1 PPMin), concerner une ordonnance sujette à recours auprès de la Chambre de céans (art. 393 al. 1 let. a CPP cum art. 3 al. 1 et 39 al. 1 PPMin) et émaner de la représentante légale du mineur,</w:t>
      </w:r>
    </w:p>
    <w:p>
      <w:r>
        <w:t>- 4/7 - P/15112/2024 laquelle est partie à la procédure et a qualité pour recourir (art. 382 al. 1 CPP cum art. 18 let. b, 38 al. 1 let. b et 3 PPMin; cf. aussi ACPR/582/2024 du 7 août 2024 consid. 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255 CPP, applicable par renvoi de l'art. 3 al. 1 PPMin, pour élucider le crime ou le délit sur lequel porte la procédure, le prélèvement d’un échantillon et l’établissement d’un profil d’ADN peuvent être ordonnés sur le prévenu (al. 1 let. a). Le prélèvement d’un échantillon et l’établissement d’un profil d’ADN peuvent aussi être ordonnés sur le prévenu si des indices concrets laissent présumer qu’il pourrait avoir commis d’autres crimes ou délits (al. 1bis), passées ou futures, qui sont encore inconnues des autorités (ATF 147 I 372 consid. 2.1; arrêt du Tribunal fédéral 1B_631/2022 du 22 février 2022 consid. 3.1.3).</w:t>
      </w:r>
    </w:p>
    <w:p>
      <w:r>
        <w:rPr>
          <w:b/>
        </w:rPr>
        <w:t>E. 3.2</w:t>
      </w:r>
    </w:p>
    <w:p>
      <w:r>
        <w:t>L'établissement d'un profil ADN destiné à élucider des crimes ou délits passés/futurs n'est proportionné que s'il existe des indices sérieux et concrets que le prévenu pourrait/pourra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w:t>
      </w:r>
    </w:p>
    <w:p>
      <w:r>
        <w:rPr>
          <w:b/>
        </w:rPr>
        <w:t>E. 3.3</w:t>
      </w:r>
    </w:p>
    <w:p>
      <w:r>
        <w:t>En l'espèce, on comprend que le Juge des mineurs motive son ordonnance querellée tant par la nécessité d'élucider les infractions sur lesquelles porte la présente procédure (art. 255 al. 1 CPP) que pour élucider des éventuelles infractions passées (art. 255 al. 1bis CPP), principalement dommages à la propriété, violation de domicile et vol, soit des infractions d'une certaine gravité. Pour ce premier pan de la motivation, il est vrai que, concernant les faits du 22 juin 2024, qui revêtent une certaine gravité, des prélèvements ont été effectués par la police sur un tournevis retrouvé sur place. S'agissant des faits du 22 juin 2024, il ressort de la procédure que la porte du garage a été forcée – vraisemblablement avec le tournevis retrouvé sur place et sur lequel des prélèvements ont été effectués – pour accéder au coffre contenant les clés de voiture. Si le prévenu admet être monté dans le véhicule dérobé, ce qui ressort également des images de vidéosurveillance, il affirme toutefois avoir trouvé cette porte ouverte. L'établissement du profil ADN du prévenu permettra ainsi, après comparaison avec les traces relevées sur le tournevis, de circonscrire avec plus de vraisemblance, en cas de correspondance, le déroulement des faits ainsi que le rôle et l'implication de l'intéressé.</w:t>
      </w:r>
    </w:p>
    <w:p>
      <w:r>
        <w:t>- 5/7 - P/15112/2024 Pour ce motif déjà, l'ordonnance querellée se justifie. Même si tel ne ressort pas de la procédure en l'état, il ne peut non plus être exclu que d'autres infractions reprochées au prévenu puissent être élucidées par la mesure litigieuse, notamment au sujet d'une éventuelle implication dans le "brigandage" (cf. B.b. supra) contre le propriétaire des cartes retrouvées sur le précité. Par ailleurs, le prévenu est encore soupçonné d'avoir dérobé un colis dans une boîte à lait et de s'être retrouvé en possession de quatre cartes appartenant à un tiers, victime d'un brigandage. À ce sujet, les déclarations de l'intéressé selon lesquelles il aurait souhaité rapporter ces objets à leurs ayants droit n'emportent guère conviction. En outre, le prévenu semble avoir fait l'objet d'une ordonnance pénale (non versée à la procédure) pour dommages à la propriété et vol d'un scooter en 2023. Face à ces éléments, le Juge des mineurs pouvait considérer que le prévenu montre une propension à commettre des infractions – d'une certaine gravité – et qu'il aurait ainsi pu prendre part, dans le passé, à d'autres agissements répréhensibles encore inconnus des autorités. Dans cette mesure, il se justifiait également d'établir son profil ADN. Pour le surplus, les arguments de la recourante ne sont pas pertinents pour trancher la cause.</w:t>
      </w:r>
    </w:p>
    <w:p>
      <w:r>
        <w:rPr>
          <w:b/>
        </w:rPr>
        <w:t>E. 4</w:t>
      </w:r>
    </w:p>
    <w:p>
      <w:r>
        <w:t>Justifiée, l'ordonnance querellée sera donc confirmée.</w:t>
      </w:r>
    </w:p>
    <w:p>
      <w:r>
        <w:rPr>
          <w:b/>
        </w:rPr>
        <w:t>E. 5</w:t>
      </w:r>
    </w:p>
    <w:p>
      <w:r>
        <w:t>La recourante, qui succombe, supportera les frais envers l'État, qui seront arrêtés à CHF 300.- (art. 428 al. 1 CPP cum art. 3 al. 1 PPMin et 13 al. 1 du Règlement fixant le tarif des frais en matière pénale, RTFMP; E 4 10.03). * * * * *</w:t>
      </w:r>
    </w:p>
    <w:p>
      <w:r>
        <w:t>- 6/7 - P/15112/2024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