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ACPR/130/2024 vom 23. November 2023</w:t>
      </w:r>
    </w:p>
    <w:p>
      <w:r>
        <w:t>GE Cour de justice, 2023-11-23, FR</w:t>
      </w:r>
    </w:p>
    <w:p>
      <w:r>
        <w:rPr>
          <w:b/>
        </w:rPr>
        <w:t xml:space="preserve">Quelle: </w:t>
      </w:r>
      <w:r>
        <w:t>https://mcp.opencaselaw.ch/entscheid/ge_gerichte_ACPR_130_2024</w:t>
      </w:r>
    </w:p>
    <w:p>
      <w:r>
        <w:t>FR: GE_GERICHTE ACPR/130/2024 du 23 novembre 2023</w:t>
      </w:r>
    </w:p>
    <w:p>
      <w:r>
        <w:t>IT: GE_GERICHTE ACPR/130/2024 del 23 novembre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29 CPP, les infractions sont poursuivies et jugées conjointement lorsqu'un prévenu a commis plusieurs infractions (al. 1 let. a) ou s'il y a plusieurs coauteurs ou participants (al. 1 let. b).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p. 218 s. ; L. MOREILLON / A. PAREIN- REYMOND, Petit commentaire du code de procédure pénale, 2ème éd., Bâle 2016, n. 3 ad art. 29).</w:t>
      </w:r>
    </w:p>
    <w:p>
      <w:r>
        <w:rPr>
          <w:b/>
        </w:rPr>
        <w:t>E. 3.2</w:t>
      </w:r>
    </w:p>
    <w:p>
      <w:r>
        <w:t>L'art. 30 CPP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 doit cependant rester l'exception et l'unité de la procédure la règle, dans un but d'économie de procédure, d'une part, mais aussi afin de prévenir le prononcé de décisions contraires, d'autre part. Ainsi, le</w:t>
      </w:r>
    </w:p>
    <w:p>
      <w:r>
        <w:t>- 6/8 - P/1117/2019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Des procédures pourront être disjointes, par exemple, lorsque plusieurs faits sont reprochés à un auteur et que seule une partie de ceux-ci sont en état d'être jugés, la prescription s'approchant (ATF 138 IV 214 consid. 3.2 p. 219). Elles pourront également l'être en présence de difficultés liées à un grand nombre de coauteurs dont certains seraient introuvables, lorsqu'une longue procédure d'extradition est mise en œuvre ou encore en cas de violation du principe de célérité (arrêts du Tribunal fédéral 1B_230/2019 du 8 octobre 2019 consid. 3.4 ; 1B_428/2018 du 7 novembre 2018 consid. 3.2). Des raisons d'organisation des autorités de poursuite pénale ne suffisent pas (ATF 138 IV 214 consid. 3.2 p. 219).</w:t>
      </w:r>
    </w:p>
    <w:p>
      <w:r>
        <w:rPr>
          <w:b/>
        </w:rPr>
        <w:t>E. 3.3</w:t>
      </w:r>
    </w:p>
    <w:p>
      <w:r>
        <w:t>En l'espèce, le recourant est prévenu dans les deux procédures concernées. Conformément au principe de l'unité de la procédure, ces faits – et les infractions qui y sont associées – doivent donc en principe être poursuivis conjointement. Par ailleurs, même si les faits reprochés et les autres parties sont différents, on doit relever que certaines infractions poursuivies sont les mêmes et que le mode opératoire imputé au recourant dans chacune des procédures présente certaines similitudes. En effet, il est reproché à ce dernier – dans les deux causes – d'avoir détourné des valeurs patrimoniales appartenant à des tiers. Il existe donc une connexité "de modus operandi", qui, si elle n'est pas étroite, justifie néanmoins de manière objective que l'ensemble des faits soit jugé conjointement pour permettre une vision d'ensemble des actes reprochés au recourant, et conformément aux règles sur le concours d'infractions. En tout état de cause, le Ministère public supportera seul les éventuelles complications pratiques découlant de la pluralité de participants. Enfin, le fait qu'une des procédures soit à un stade plus avancé n'est pas de nature à empêcher la jonction des causes, étant relevé que la P/1117/2019 est toujours pendante devant le Ministère public. Ce d'autant que rien ne laisse supposer que la procédure, à la suite de la jonction, serait exagérément retardée, compte tenu des actes d'instruction déjà effectués dans le cadre de la P/6973/2023. En tout état de cause, le recourant ne se plaint pas explicitement d'une violation du principe de célérité en lien avec l'instruction de la cause P/1117/2019 jusqu'à la jonction. Le grief tiré de la violation des art. 29 et 30 CPP sera ainsi rejeté.</w:t>
      </w:r>
    </w:p>
    <w:p>
      <w:r>
        <w:rPr>
          <w:b/>
        </w:rPr>
        <w:t>E. 4</w:t>
      </w:r>
    </w:p>
    <w:p>
      <w:r>
        <w:t>L'ordonnance querellée sera donc confirmée et le recours rejeté.</w:t>
      </w:r>
    </w:p>
    <w:p>
      <w:r>
        <w:t>- 7/8 - P/1117/2019</w:t>
      </w:r>
    </w:p>
    <w:p>
      <w:r>
        <w:rPr>
          <w:b/>
        </w:rPr>
        <w:t>E. 5</w:t>
      </w:r>
    </w:p>
    <w:p>
      <w:r>
        <w:t>Le recourant,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