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ACPR/12/2026 vom 20. Oktober 2025</w:t>
      </w:r>
    </w:p>
    <w:p>
      <w:r>
        <w:t>GE Cour de justice, 2025-10-20, FR</w:t>
      </w:r>
    </w:p>
    <w:p>
      <w:r>
        <w:rPr>
          <w:b/>
        </w:rPr>
        <w:t xml:space="preserve">Quelle: </w:t>
      </w:r>
      <w:r>
        <w:t>https://mcp.opencaselaw.ch/entscheid/ge_gerichte_ACPR_12_2026</w:t>
      </w:r>
    </w:p>
    <w:p>
      <w:r>
        <w:t>FR: GE_GERICHTE ACPR/12/2026 du 20 octobre 2025</w:t>
      </w:r>
    </w:p>
    <w:p>
      <w:r>
        <w:t>IT: GE_GERICHTE ACPR/12/2026 del 20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à nouveau établi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w:t>
      </w:r>
    </w:p>
    <w:p>
      <w:r>
        <w:t>- 5/9 - P/23719/2025 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dès lors qu'il avait déjà été soupçonné pour vol, violation de domicile, dommages à la propriété et délit à la LStup. Le recourant ne prétend pas que les conditions de l’art. 255 al. 1bis CPP ne seraient pas réalisées, au vu de ses précédentes condamnations pour les infractions précitées. Il soutient en revanche que la mesure serait disproportionnée car il a déjà fait l’objet d’établissements de son profil d’ADN lors de ses précédentes condamnations. Or, il ne paraît ni arbitraire ni contraire au principe de la proportionnalité que chaque arrestation d’un prévenu, qui conduit à la condamnation de ce dernier, puisse donner lieu à l’établissement d’un profil d’ADN, si les conditions de l’art. 255 al. 1bis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qui ont conduit le Ministère public à ordonner à nouveau l'établissement du profil d'ADN du recourant, afin d'en prolonger d'autant la date d'effacement dans les fichiers de la police. Dans la mesure où on se</w:t>
      </w:r>
    </w:p>
    <w:p>
      <w:r>
        <w:t>- 6/9 - P/23719/2025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 Le recourant semble en outre invoquer une violation de l’art. 17 de la loi sur les profils d’ADN, lequel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une telle mesure, fondée sur la loi, en vue de prolonger d’autant le délai de conservation du profil, ne paraît pas disproportionnée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Que les frais de l’ordonnance querellée, qu’il estime à CHF 20.-, soient éventuellement mis à sa charge ultérieurement n'est donc pas pertinent à ce stade. Pour le surplus, le recourant ne saurait se soustraire à la mesure au prétexte que ces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Selon l'issue de la procédure, l'intérêt public à disposer du profil d'ADN de l'intéressé ne sera pas le même, de sorte qu'il appartient au juge du fond de trancher cette question, qui est exorbitante au présent litige. 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t>- 7/9 - P/23719/2025</w:t>
      </w:r>
    </w:p>
    <w:p>
      <w:r>
        <w:rPr>
          <w:b/>
        </w:rPr>
        <w:t>E. 5</w:t>
      </w:r>
    </w:p>
    <w:p>
      <w:r>
        <w:t>Le recourant, qui succombe, supportera les frais envers l'État, qui seront fixés en totalité à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La procédure étant toujours en cours, il n'y a pas lieu d'indemniser, à ce stade (cf. art. 135 al. 2 CPP), le défenseur d'office. * * * * *</w:t>
      </w:r>
    </w:p>
    <w:p>
      <w:r>
        <w:t>- 8/9 - P/23719/2025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