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ACPR/12/2019 vom 21. November 2017</w:t>
      </w:r>
    </w:p>
    <w:p>
      <w:r>
        <w:t>GE Cour de justice, 2017-11-21, FR</w:t>
      </w:r>
    </w:p>
    <w:p>
      <w:r>
        <w:rPr>
          <w:b/>
        </w:rPr>
        <w:t xml:space="preserve">Quelle: </w:t>
      </w:r>
      <w:r>
        <w:t>https://mcp.opencaselaw.ch/entscheid/ge_gerichte_ACPR_12_2019</w:t>
      </w:r>
    </w:p>
    <w:p>
      <w:r>
        <w:t>FR: GE_GERICHTE ACPR/12/2019 du 21 novembre 2017</w:t>
      </w:r>
    </w:p>
    <w:p>
      <w:r>
        <w:t>IT: GE_GERICHTE ACPR/12/2019 del 21 novembre 2017</w:t>
      </w:r>
    </w:p>
    <w:p>
      <w:pPr>
        <w:pStyle w:val="Heading2"/>
      </w:pPr>
      <w:r>
        <w:t>Erwägungen</w:t>
      </w:r>
    </w:p>
    <w:p>
      <w:r>
        <w:rPr>
          <w:b/>
        </w:rPr>
        <w:t>E. 1</w:t>
      </w:r>
    </w:p>
    <w:p>
      <w:r>
        <w:t>Le recours est recevable pour avoir été déposé selon la forme et dans le délai prescrits – les formalités de notification (art. 85 al. 2 CPP) n'ayant pas été observées – (art. 385 al. 1 et 396 al. 1 CPP), –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t>- 6/10 - P/17719/2016</w:t>
      </w:r>
    </w:p>
    <w:p>
      <w:r>
        <w:rPr>
          <w:b/>
        </w:rPr>
        <w:t>E. 2</w:t>
      </w:r>
    </w:p>
    <w:p>
      <w:r>
        <w:t>Les recourantes reprochent au Ministère public d'avoir prononcé une ordonnance de non-entrée en matière en lieu et place d'une ordonnance de classement.</w:t>
      </w:r>
    </w:p>
    <w:p>
      <w:r>
        <w:rPr>
          <w:b/>
        </w:rPr>
        <w:t>E. 2.1</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 REYMOND, Petit commentaire CPP, Bâle 2016, n. 4 ad art. 310; arrêt du Tribunal fédéral 1B_368/2012 du 13 mai 2013 consid. 3.2.). L'ordonnance de non-entrée en matière n'est toutefois pas soumise à un délai, le procureur devant simplement veiller au respect du principe de célérité (art. 5 CPP; A. KUHN / Y. JEANNERET (éds), Commentaire romand : Code de procédure pénale suisse, Bâle 2011, n. 4 ad art. 310). Ainsi, avant de rendre une telle ordonnance, le ministère public peut demander des compléments d'enquête à la police, non seulement lorsqu'il s'agit de compléter un précédent rapport au sens de l'art. 307 CPP, mais aussi lorsque la dénonciation elle- même apparaît insuffisante (arrêt du Tribunal fédéral 1B_368/2012 du 13 mai 2013 consid. 3.2). Lorsqu'il agit ainsi, le ministère public n'ouvre pas d'instruction et l'enquête se poursuit ou est entamée dans le cadre de l'investigation policière (art. 306 CPP; A. KUHN / Y. JEANNERET [éds], op. cit., Bâle 2011, n. 22 ad art. 309).</w:t>
      </w:r>
    </w:p>
    <w:p>
      <w:r>
        <w:rPr>
          <w:b/>
        </w:rPr>
        <w:t>E. 2.2</w:t>
      </w:r>
    </w:p>
    <w:p>
      <w:r>
        <w:t>En l'espèce, le Ministère public a chargé la police d'entendre le mis en cause et a demandé aux recourantes de produire des pièces et des renseignements aux Services cantonaux de Genève et Valais. Il n'a ouvert aucune instruction, ordonné aucune mesure de contrainte ni entendu les parties ou des témoins. Le prononcé d'une non- entrée en matière n'apparaît pas critiquable. Le grief est dès lors rejeté.</w:t>
      </w:r>
    </w:p>
    <w:p>
      <w:r>
        <w:rPr>
          <w:b/>
        </w:rPr>
        <w:t>E. 3</w:t>
      </w:r>
    </w:p>
    <w:p>
      <w:r>
        <w:t>Les recourantes reprochent au Ministère de n'être pas entré en matière sur leurs plaintes.</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w:t>
      </w:r>
    </w:p>
    <w:p>
      <w:r>
        <w:t>- 7/10 - P/17719/2016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s'impose lorsque le litige est de nature purement civile (ATF 137 IV 285 consid. 2.3 p. 287).</w:t>
      </w:r>
    </w:p>
    <w:p>
      <w:r>
        <w:rPr>
          <w:b/>
        </w:rPr>
        <w:t>E. 3.2</w:t>
      </w:r>
    </w:p>
    <w:p>
      <w:r>
        <w:t>Selon l'art. 138 ch. 1 al. 1 CP, commet un abus de confiance celui qui, pour se procurer ou procurer à un tiers un enrichissement illégitime, se sera approprié une chose mobilière appartenant à autrui et qui lui avait été confiée. Selon le ch. 1 al. 2 de cette même disposition, commet un abus de confiance celui qui, sans droit, aura employé à son profit ou au profit d'un tiers, des valeurs patrimoniales qui lui avaient été confiées. L'art. 158 CP réprimant la gestion déloyale suppose quatre conditions : il faut que l'auteur ait eu une position de gérant, qu'il ait violé une obligation lui incombant en cette qualité, qu'il en soit résulté un préjudice et qu'il ait agi intentionnellement (ATF 120 IV 190 consid. 2b p. 192; arrêts du Tribunal fédéral 6B_136/2017 du 17 novembre 2017 consid. 4.1; 6B_949/2014 du 6 mars 2017 consid. 12.1).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139 ch. 1 CP réprime le comportement de celui qui, pour se procurer ou procurer à un tiers un enrichissement illégitime, aura soustrait une chose mobilière appartenant à autrui dans le but de se l'approprier.</w:t>
      </w:r>
    </w:p>
    <w:p>
      <w:r>
        <w:t>- 8/10 - P/17719/2016</w:t>
      </w:r>
    </w:p>
    <w:p>
      <w:r>
        <w:rPr>
          <w:b/>
        </w:rPr>
        <w:t>E. 3.3</w:t>
      </w:r>
    </w:p>
    <w:p>
      <w:r>
        <w:t>En l'espèce, un litige oppose les administrateurs des recourantes. "L'administrateur-liquidateur" soutient que les sociétés seraient en liquidation, alors que le mis en cause, lui, conteste cette fonction de liquidateur. Les extraits des Registres du commerce produits à l'appui du recours ne font état d'aucune liquidation mais laissent apparaître le mis en cause en qualité d'administrateur des deux recourantes et aucun procès-verbal d'assemblée générale relatif à une liquidation n'est versé au dossier. Ce litige n'apparaît pas ressortir de la compétence des autorités de poursuite pénale, relevant en réalité des rapports internes. Les documents produits par les recourantes ne soutiennent pas leurs allégations. La lettre de confirmation d'engagement du mis en cause, seul document produit afin d'étayer l'infraction de faux dans les titres et d'utilisation du papier entête à des fins personnelles, ne permet pas de retenir qu'il s'agirait d'un faux ni qu'elle aurait été signée par le mis en cause. Les documents concernant l'offre de vente d'un tunnel de lavage par une société italienne, même avec une intervention du mis en cause, à une société n'établit pas, de quelque façon que ce soit, une gestion déloyale commise en Suisse. L'inscription des dettes du mis en cause dans la comptabilité des sociétés permet d'exclure toute infraction pénale. La vente d'un véhicule d'une des recourantes par le mis en cause ne suffit pas à y voir un vol ni un abus de confiance pas plus que la présence d'une O______ à Genève.</w:t>
      </w:r>
    </w:p>
    <w:p>
      <w:r>
        <w:rPr>
          <w:b/>
        </w:rPr>
        <w:t>E. 4</w:t>
      </w:r>
    </w:p>
    <w:p>
      <w:r>
        <w:t>Justifiée, l'ordonnance querellée sera donc confirmée.</w:t>
      </w:r>
    </w:p>
    <w:p>
      <w:r>
        <w:rPr>
          <w:b/>
        </w:rPr>
        <w:t>E. 5</w:t>
      </w:r>
    </w:p>
    <w:p>
      <w:r>
        <w:t>Les recourantes, qui succombent, supporteront conjointement et solidairement les frais envers l'État, fixés en totalité à CHF 1'500.- (art. 428 al. 1 CPP et 13 al. 1 du Règlement fixant le tarif des frais en matière pénale, RTFMP; E 4 10.03). * * * * *</w:t>
      </w:r>
    </w:p>
    <w:p>
      <w:r>
        <w:t>- 9/10 - P/17719/2016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