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ACPR/129/2025 vom 8. Oktober 2024</w:t>
      </w:r>
    </w:p>
    <w:p>
      <w:r>
        <w:t>GE Cour de justice, 2024-10-08, FR</w:t>
      </w:r>
    </w:p>
    <w:p>
      <w:r>
        <w:rPr>
          <w:b/>
        </w:rPr>
        <w:t xml:space="preserve">Quelle: </w:t>
      </w:r>
      <w:r>
        <w:t>https://mcp.opencaselaw.ch/entscheid/ge_gerichte_ACPR_129_2025</w:t>
      </w:r>
    </w:p>
    <w:p>
      <w:r>
        <w:t>FR: GE_GERICHTE ACPR/129/2025 du 8 octobre 2024</w:t>
      </w:r>
    </w:p>
    <w:p>
      <w:r>
        <w:t>IT: GE_GERICHTE ACPR/129/2025 del 8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semble reprocher au Ministère public de ne pas avoir suffisamment motivé sa décision.</w:t>
      </w:r>
    </w:p>
    <w:p>
      <w:r>
        <w:rPr>
          <w:b/>
        </w:rPr>
        <w:t>E. 3.1</w:t>
      </w:r>
    </w:p>
    <w:p>
      <w:r>
        <w:t>La garantie du droit d'être entendu, déduite de l'art. 29 al. 2 Cst., impose à l'autorité de motiver ses décisions, afin que les parties puissent les comprendre et apprécier</w:t>
      </w:r>
    </w:p>
    <w:p>
      <w:r>
        <w:t>- 5/9 - P/19944/2023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142 II 154 consid. 4.2; ATF 138 I 232 consid. 5.1.).</w:t>
      </w:r>
    </w:p>
    <w:p>
      <w:r>
        <w:rPr>
          <w:b/>
        </w:rPr>
        <w:t>E. 3.2</w:t>
      </w:r>
    </w:p>
    <w:p>
      <w:r>
        <w:t>En l'occurrence, le Ministère public mentionne, de manière certes succincte mais suffisante, les éléments ayant conduit à la décision. D'ailleurs, le recourant a été en mesure de la contester dans le cadre de son recours et reproche surtout à l'autorité précédente de ne pas avoir, selon lui, démontré que les conditions de l'art. 236 CPP seraient réalisées. L'éventuel grief du défaut de motivation apparaît dès lors infondé.</w:t>
      </w:r>
    </w:p>
    <w:p>
      <w:r>
        <w:rPr>
          <w:b/>
        </w:rPr>
        <w:t>E. 4</w:t>
      </w:r>
    </w:p>
    <w:p>
      <w:r>
        <w:t>Le recourant reproche au Ministère public d'avoir refusé qu'il commence à exécuter le traitement ambulatoire (art. 63 CP) préconisé par les experts.</w:t>
      </w:r>
    </w:p>
    <w:p>
      <w:r>
        <w:rPr>
          <w:b/>
        </w:rPr>
        <w:t>E. 4.1</w:t>
      </w:r>
    </w:p>
    <w:p>
      <w:r>
        <w:t>L'art. 236 CPP permet d'autoriser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(al. 1).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(al. 4).</w:t>
      </w:r>
    </w:p>
    <w:p>
      <w:r>
        <w:rPr>
          <w:b/>
        </w:rPr>
        <w:t>E. 4.2</w:t>
      </w:r>
    </w:p>
    <w:p>
      <w:r>
        <w:t>Même en supposant qu'un traitement ambulatoire serait ordonné par le juge du fond, cette mesure n'entrainerait pas la privation de liberté exigée par l'art. 236 al. 1 CP [à la différence du traitement institutionnel de l'art. 59 al. 1 CP], de sorte qu'il ne peut être mis en œuvre à ce stade (ACPR/88/2023 consid. 3.1.). Partant, l'exécution anticipée du traitement ambulatoire doit déjà être refusée pour ce motif.</w:t>
      </w:r>
    </w:p>
    <w:p>
      <w:r>
        <w:rPr>
          <w:b/>
        </w:rPr>
        <w:t>E. 5</w:t>
      </w:r>
    </w:p>
    <w:p>
      <w:r>
        <w:t>Le recourant invoque une violation du principe de la proportionnalité (art. 36 al. 3 Cst et 197 al. 1 let. c et d CPP).</w:t>
      </w:r>
    </w:p>
    <w:p>
      <w:r>
        <w:rPr>
          <w:b/>
        </w:rPr>
        <w:t>E. 5.1</w:t>
      </w:r>
    </w:p>
    <w:p>
      <w:r>
        <w:t>Conformément au principe de la proportionnalité (art. 36 al. 3 Cst.), il convient d'examiner les possibilités de mettre en œuvre d'autres solutions moins dommageables que la détention (règle de la nécessité). L'art. 197 al. 1 CPP prévoit notamment que les mesures de contrainte ne peuvent être prises que si les buts poursuivis ne peuvent pas</w:t>
      </w:r>
    </w:p>
    <w:p>
      <w:r>
        <w:t>- 6/9 - P/19944/2023 être atteints par des mesures moins sévères (let. c) et si elles apparaissent justifiées au regard de la gravité de l'infraction (let. d).</w:t>
      </w:r>
    </w:p>
    <w:p>
      <w:r>
        <w:rPr>
          <w:b/>
        </w:rPr>
        <w:t>E. 5.2</w:t>
      </w:r>
    </w:p>
    <w:p>
      <w:r>
        <w:t>Aux termes de l'art 374 al. 1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w:t>
      </w:r>
    </w:p>
    <w:p>
      <w:r>
        <w:rPr>
          <w:b/>
        </w:rPr>
        <w:t>E. 5.3</w:t>
      </w:r>
    </w:p>
    <w:p>
      <w:r>
        <w:t>En l'occurrence, le recourant persiste à soutenir que seul un traitement ambulatoire sera en l'espèce prononcé. Or, il vient d'être exposé (cf 4.2 supra), qu'en l'état, un tel traitement ne peut être ordonné de manière anticipée. Quoi qu'il en soit, il n'est pas certain que cette mesure soit suffisante pour pallier le risque de récidive présenté par le recourant, comme retenu par le Tribunal fédéral dans son arrêt 7B_1157/2024 du 29 novembre 2024 consid. 3.4. Conformément à l'art. 374 al. 1 CPP, il appartient au juge du fond, en l'occurrence le Tribunal correctionnel, de décider quelle mesure est la plus adéquate, le cas échéant après avoir entendu les experts. La Chambre de céans n'a aucune compétence pour se prononcer sur cette question ni sur un éventuel transfert dans un autre établissement (cf ACPR/941/2023 du 5 décembre 2023). Enfin, du point de vue temporel, compte tenu de la gravité des faits reprochés, du grave trouble mental dont souffre le recourant, de ses difficultés à rester compliant à son traitement et de la nécessité du prononcé d'une mesure [qu'il s'agisse d'un traitement institutionnel ou ambulatoire], dont la durée maximale (prolongeable) est de cinq ans, le principe de la proportionnalité demeure respecté, ceci d'autant que le Tribunal correctionnel statuera prochainement. Par conséquent, c'est à bon droit que le Ministère public a refusé la demande du recourant d'exécuter une mesure de manière anticipée et l'ordonnance querellée doit, partant, être confirmée.</w:t>
      </w:r>
    </w:p>
    <w:p>
      <w:r>
        <w:rPr>
          <w:b/>
        </w:rPr>
        <w:t>E. 6</w:t>
      </w:r>
    </w:p>
    <w:p>
      <w:r>
        <w:t>Le recourant, qui n’a pas gain de cause, assumera les frais de l'instance (art. 428 al. 1 CPP), qui seront fixés en totalité à CHF 900.-, y compris l’émolument (art. 13 al. 1 du Règlement fixant le tarif des frais en matière pénale, RTFMP;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w:t>
      </w:r>
    </w:p>
    <w:p>
      <w:r>
        <w:t>- 7/9 - P/19944/2023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7.2</w:t>
      </w:r>
    </w:p>
    <w:p>
      <w:r>
        <w:t>En l'occurrence, quand bien même le recourant succombe, on peut, encore, admettre que l'exercice de ce recours ne procède pas d'un abus. L'indemnité du défenseur d'office sera fixée à la fin de la procédure (art. 135 al. 2 CPP). * * * * *</w:t>
      </w:r>
    </w:p>
    <w:p>
      <w:r>
        <w:t>- 8/9 - P/19944/2023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