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ACPR/129/2019 vom 22. März 2018</w:t>
      </w:r>
    </w:p>
    <w:p>
      <w:r>
        <w:t>GE Cour de justice, 2018-03-22, FR</w:t>
      </w:r>
    </w:p>
    <w:p>
      <w:r>
        <w:rPr>
          <w:b/>
        </w:rPr>
        <w:t xml:space="preserve">Quelle: </w:t>
      </w:r>
      <w:r>
        <w:t>https://mcp.opencaselaw.ch/entscheid/ge_gerichte_ACPR_129_2019</w:t>
      </w:r>
    </w:p>
    <w:p>
      <w:r>
        <w:t>FR: GE_GERICHTE ACPR/129/2019 du 22 mars 2018</w:t>
      </w:r>
    </w:p>
    <w:p>
      <w:r>
        <w:t>IT: GE_GERICHTE ACPR/129/2019 del 22 marzo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w:t>
      </w:r>
    </w:p>
    <w:p>
      <w:r>
        <w:t>- 10/17 - P/5830/2015 intérêt juridiquement protégé à la modification ou à l'annulation de la décision querellée (art. 382 al. 1 CPP).</w:t>
      </w:r>
    </w:p>
    <w:p>
      <w:r>
        <w:rPr>
          <w:b/>
        </w:rPr>
        <w:t>E. 2</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3</w:t>
      </w:r>
    </w:p>
    <w:p>
      <w:r>
        <w:t>Les recourants considèrent que la feuille de présence du 8 janvier 2009 et les certificats d'action du 23 mars 2010 sont des faux dans les titres.</w:t>
      </w:r>
    </w:p>
    <w:p>
      <w:r>
        <w:t>- 11/17 - P/5830/2015 3.1.1.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on parle de "valeur probante accrue". L'art. 110 al. 4 CP définit les titres comme les écrits destinés et propres à prouver un fait ayant une portée juridique et tous les signes destinés à prouver un tel fait. Dans la casuistique liée à cette disposition, un certificat d'action qui atteste que les actions ont été entièrement libérées constitue un titre (ATF 103 IV 269 consid 1 = JdT 1979 IV 46). 3.1.2. 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 Le faux intellectuel vise l'établissement d'un titre qui émane de son auteur apparent, mais qui est mensonger dans la mesure où son contenu ne correspond pas à la réalité (AF 142 IV 119 consid. 2.1 ; ATF 138 IV 130 consid. 2.1 ;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w:t>
      </w:r>
    </w:p>
    <w:p>
      <w:r>
        <w:t>- 12/17 - P/5830/2015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et les références ; ATF 138 IV 130 consid. 2.1 ; arrêts du Tribunal fédéral 6B_55/2017 du 24 mars 2017 consid. 2.2 ; 6B_117/2015 du 11 février 2016 consid. 2.4.1).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 125 IV 273 consid. 3a ; arrêt du Tribunal fédéral 6B_589/2009 du 14 septembre 2009 consid. 2.1.1). 3.1.3.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ou celle d'un tiers (arrêt du Tribunal fédéral 6B_651/2011 du 20 février 2012 consid. 4.5). Son illicéité peut résulter de la loi, du but poursuivi ou du moyen utilisé. Elle peut donc être déduite du seul fait que l'auteur recourt à un faux (arrêts du Tribunal fédéral 6B_441/2016 du 29 mars 2017 consid. 6.2 et 6B_367/2007 du 10 octobre 2007 consid. 4.4 non publié in ATF 133 IV 303). 3.1.4.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t>- 13/17 - P/5830/2015 3.1.5. À l'art. 251 CP, l'intention implique que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141 IV 369 consid. 7.4 p. 377 ; 135 IV 12 consid. 2.2). 3.2.1. En l'occurrence, la feuille de présence à l'assemblée générale extraordinaire du</w:t>
      </w:r>
    </w:p>
    <w:p>
      <w:r>
        <w:rPr>
          <w:b/>
        </w:rPr>
        <w:t>E. 8</w:t>
      </w:r>
    </w:p>
    <w:p>
      <w:r>
        <w:t>janvier 2009 ne trouve son fondement dans aucune norme impérative du Code des obligations et ne constitue pas un document comportant une valeur probante accrue. C'est un simple rapport de présence à usage interne qui ne revêtait aucune obligation de véracité quant à son contenu et n'était pas destiné, ni propre, à prouver un fait ayant une portée juridique. Ainsi, n'ayant pas valeur de titre, le fait que, selon les recourants, le contenu de cette feuille de présence ne correspondrait pas à la réalité ne permet pas d'imputer à son auteur une infraction à l'art. 251 CP. Le classement de la procédure à ce sujet est par conséquent justifié et doit être confirmé. 3.2.2. Il en va autrement des certificats d'actions, ne serait-ce qu'au regard de la jurisprudence citée ci-dessus ainsi que pour les raisons exposées ci-après. Peut exercer des droits vis-à-vis d'une société, la personne qui est légitimée à l'égard de celle-ci. Celui qui dispose de la légitimation formelle est présumé être légitimé matériellement. Selon l'art. 689a al. 2 première phrase CO, qui régit la légitimation formelle de l'actionnaire à l'égard de la société, peut exercer les droits sociaux liés à l'action au porteur quiconque y est habilité comme possesseur en tant qu'il produit l'action ou le certificat en attestant. Cette possession emporte formellement le droit de requérir la convocation d'une assemblée générale, si le possesseur détient au moins 10 % du capital-actions (B. TANNER, Zürcher Kommentar, 2003, no 50 ad art. 699 CO). Il s'ensuit qu'un certificat d'actions, propre à permettre à son porteur d'exercer des droits sociaux, doit être considéré comme un titre. Sa possible falsification est donc pénalement relevante. In casu, la présente procédure n'a pas permis d'établir qu'il existerait effectivement deux certificats d'actions au porteur de 25 actions chacun, un seul ayant été produit en original, et il existe une probabilité pour que ces certificats, contestés, constituent des faux dans la mesure où plusieurs éléments de la procédure autorisent à penser qu'ils ne correspondraient pas à la réalité. Il en va ainsi de la production envers le fisc genevois d'une répartition différente des actions d'I______ SA, à tout le moins jusqu'en 2012, soit postérieurement à la confection des deux certificats litigieux, mais aussi de la déclaration du témoin P______ devant la justice civile, qui parle de la même répartition, contraire auxdits certificats, sans omettre les déclarations du plaignant concerné au premier chef, qui n'a jamais vu les certificats du 23 mars 2010. Il n'était donc pas possible pour le Ministère public de considérer d'emblée que les deux</w:t>
      </w:r>
    </w:p>
    <w:p>
      <w:r>
        <w:t>- 14/17 - P/5830/2015 certificats du 23 mars 2010, dont un original manque, n'étaient pas des faux dans les titres. Le classement n'est de ce fait pas justifié. Il n'était pas non plus possible d'étayer ce classement en approuvant la thèse du prévenu selon laquelle les titres au porteur d'une autre société, Q______ LTD, dont on ne sait rien, était détenue par moitié par les deux mêmes actionnaires figurant sur les certificats contestés. Cette comparaison est dénuée de toute pertinence. Le Ministère public a d'ailleurs motivé son classement dans le sens contraire Du principe in dubio pro duriore en affirmant que les explications du prévenu selon lesquelles il avait été décidé de partager les actions d'I______ SA entre les deux personnes les plus familières avec les affaires immobilières et afin de simplifier la gouvernance de cette société "n'apparaissent pas comme insoutenables": cette seule mention signifie a contrario que la position adoptée par les plaignants peut, elle aussi, être soutenue et implique ainsi un renvoi en jugement. Le recours devra par conséquent être admis sur ce point. 4. 4.1. 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w:t>
      </w:r>
    </w:p>
    <w:p>
      <w:r>
        <w:t>- 15/17 - P/5830/2015 Du point de vue subjectif, l'auteur doit agir intentionnellement, avec le dessein de se procurer ou de procurer à un tiers un enrichissement illégitime, qui peut être réalisé par dol éventuel (ATF 118 IV 32 consid. 2a ; ACPR/33/2017 du 27 janvier 2017 consid. 4.1). 4.2. Le Ministère public a constaté avec pertinence que la position des plaignants, qui reprochent au prévenu d'avoir détourné des loyers d'I______ SA à l'insu de ses actionnaires pour payer les charges de son étude, n'était étayée pas aucune pièce de la procédure. En effet, le relevé du 1er octobre 2014 produit par les plaignants qui mentionne que le compte n° 7______ ouvert auprès de O______ SA, dont ils partagent la titularité avec le prévenu, a été crédité le 20 août 2014 d'un montant de CHF 34'300.-, n'est pas propre à démontrer que ces fonds ont été détournés à des fins personnelles. Aucun élément de preuve ne permet d'infirmer les déclarations du prévenu selon lesquelles ce montant correspondrait à un paiement des intérêts hypothécaires de l'ensemble des prêts immobiliers, soit en faveur de tous les anciens associés, ce qui emporte l'absence de dessein d'enrichissement illégitime. Quant à la liste de mouvements décrits comme litigieux par les plaignants dans leur complément de plainte, la seule énumération d'une centaine d'écritures comptables correspondant prétendument à des débits, sans autre explication, ne saurait constituer une preuve à la charge du prévenu de détournement des valeurs patrimoniales revenant aux plaignants. Ainsi, en l'état, les seules pièces probantes au dossier sont celles fournies par le prévenu par lesquelles il a prétendu que le compte d'I______ SA avait été utilisé à plusieurs reprises pour régler des dettes de l'ensemble des anciens associés et non pour s'enrichir personnellement. La situation entre les parties est complexe, dans la mesure où leurs rapports reposent sur des bases peu claires et qu'ils ont duré de nombreuses années, pendant lesquelles elles ont d'abord développé une intense activité pour elles-mêmes, en en confiant une part importante au prévenu, en lien avec plusieurs immeubles au travers de plusieurs sociétés, étant précisé que les plaignants se sont satisfaits de sa gestion pendant de nombreuses années. Leurs reproches apparaissent ainsi principalement dus aux difficultés de mettre fin à leur collaboration, ce que confirment les procédures civiles portant sur la même problématique et ouvertes avant la procédure pénale, davantage qu'à un comportement illicite du prévenu que les plaignants n'ont identifié initialement qu'au travers d'une seule transaction bancaire en 2014, portant sur CHF 34'300.- alors qu'un reversement de cette somme (CHF 34'699.35) a été effectué peu après, n'emportent aucune conviction. Les versements contestés listés ultérieurement, mais sans explication pertinente quant à leur aspect pénal, ne changent rien au fait que le litige financier opposant les parties revêt un caractère civil prépondérant, de sorte que c'est à juste titre que le Ministère public a classé ce pan de la procédure. La décision querellée devra, sur ce point être confirmée.</w:t>
      </w:r>
    </w:p>
    <w:p>
      <w:r>
        <w:t>- 16/17 - P/5830/2015 5. L'admission du recours ne donne pas lieu à la perception de frais (art. 428 al. 1 CPP). Les recourants, parties plaignantes qui obtiennent partiellement gain de cause, ont demandé une indemnité qu'ils n'ont nullement chiffrée. Il ne leur en sera par conséquent pas alloué (art. 433 al. 2 CPP). * * * * *</w:t>
      </w:r>
    </w:p>
    <w:p>
      <w:r>
        <w:t>- 17/17 - P/5830/2015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